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cs="宋体"/>
          <w:b/>
          <w:color w:val="auto"/>
          <w:sz w:val="28"/>
          <w:szCs w:val="28"/>
          <w:highlight w:val="none"/>
        </w:rPr>
      </w:pPr>
      <w:bookmarkStart w:id="0" w:name="_Toc26627"/>
      <w:r>
        <w:rPr>
          <w:rFonts w:hint="eastAsia" w:ascii="宋体" w:hAnsi="宋体" w:cs="宋体"/>
          <w:b/>
          <w:color w:val="auto"/>
          <w:sz w:val="28"/>
          <w:szCs w:val="28"/>
          <w:highlight w:val="none"/>
        </w:rPr>
        <w:t>本文件已经我单位审核，请按此文件发布!</w:t>
      </w:r>
    </w:p>
    <w:p>
      <w:pPr>
        <w:spacing w:line="360" w:lineRule="auto"/>
        <w:ind w:firstLine="4337" w:firstLineChars="1543"/>
        <w:rPr>
          <w:rFonts w:ascii="宋体" w:hAnsi="宋体" w:cs="宋体"/>
          <w:b/>
          <w:bCs/>
          <w:color w:val="auto"/>
          <w:sz w:val="28"/>
          <w:szCs w:val="28"/>
          <w:highlight w:val="none"/>
        </w:rPr>
      </w:pPr>
      <w:r>
        <w:rPr>
          <w:rFonts w:hint="eastAsia" w:ascii="宋体" w:hAnsi="宋体" w:cs="宋体"/>
          <w:b/>
          <w:bCs/>
          <w:color w:val="auto"/>
          <w:sz w:val="28"/>
          <w:szCs w:val="28"/>
          <w:highlight w:val="none"/>
        </w:rPr>
        <w:t>盖章：</w:t>
      </w:r>
    </w:p>
    <w:p>
      <w:pPr>
        <w:wordWrap w:val="0"/>
        <w:adjustRightInd w:val="0"/>
        <w:ind w:right="600"/>
        <w:rPr>
          <w:rFonts w:ascii="宋体" w:hAnsi="宋体" w:cs="宋体"/>
          <w:b/>
          <w:bCs/>
          <w:color w:val="auto"/>
          <w:sz w:val="28"/>
          <w:szCs w:val="28"/>
          <w:highlight w:val="none"/>
        </w:rPr>
      </w:pPr>
    </w:p>
    <w:p>
      <w:pPr>
        <w:wordWrap w:val="0"/>
        <w:adjustRightInd w:val="0"/>
        <w:ind w:right="600"/>
        <w:rPr>
          <w:rFonts w:ascii="宋体" w:hAnsi="宋体" w:cs="宋体"/>
          <w:b/>
          <w:color w:val="auto"/>
          <w:sz w:val="72"/>
          <w:szCs w:val="72"/>
          <w:highlight w:val="none"/>
        </w:rPr>
      </w:pPr>
    </w:p>
    <w:p>
      <w:pPr>
        <w:spacing w:line="360" w:lineRule="auto"/>
        <w:ind w:firstLine="708" w:firstLineChars="98"/>
        <w:rPr>
          <w:rFonts w:ascii="宋体" w:hAnsi="宋体" w:cs="宋体"/>
          <w:b/>
          <w:color w:val="auto"/>
          <w:sz w:val="72"/>
          <w:szCs w:val="72"/>
          <w:highlight w:val="none"/>
        </w:rPr>
      </w:pPr>
    </w:p>
    <w:p>
      <w:pPr>
        <w:spacing w:line="264" w:lineRule="auto"/>
        <w:rPr>
          <w:rFonts w:ascii="宋体" w:hAnsi="宋体" w:cs="宋体"/>
          <w:b/>
          <w:color w:val="auto"/>
          <w:sz w:val="84"/>
          <w:szCs w:val="84"/>
          <w:highlight w:val="none"/>
        </w:rPr>
      </w:pPr>
      <w:r>
        <w:rPr>
          <w:rFonts w:hint="eastAsia" w:ascii="宋体" w:hAnsi="宋体" w:cs="宋体"/>
          <w:b/>
          <w:color w:val="auto"/>
          <w:sz w:val="72"/>
          <w:szCs w:val="72"/>
          <w:highlight w:val="none"/>
        </w:rPr>
        <w:t xml:space="preserve">      公开招标文件</w:t>
      </w:r>
    </w:p>
    <w:p>
      <w:pPr>
        <w:tabs>
          <w:tab w:val="left" w:pos="4008"/>
        </w:tabs>
        <w:spacing w:line="264" w:lineRule="auto"/>
        <w:rPr>
          <w:rFonts w:ascii="宋体" w:hAnsi="宋体" w:cs="宋体"/>
          <w:color w:val="auto"/>
          <w:highlight w:val="none"/>
        </w:rPr>
      </w:pPr>
    </w:p>
    <w:p>
      <w:pPr>
        <w:pStyle w:val="20"/>
        <w:ind w:left="420" w:firstLine="480"/>
        <w:rPr>
          <w:rFonts w:ascii="宋体" w:hAnsi="宋体" w:cs="宋体"/>
          <w:color w:val="auto"/>
          <w:highlight w:val="none"/>
        </w:rPr>
      </w:pPr>
    </w:p>
    <w:p>
      <w:pPr>
        <w:pStyle w:val="20"/>
        <w:ind w:left="420" w:firstLine="480"/>
        <w:rPr>
          <w:rFonts w:ascii="宋体" w:hAnsi="宋体" w:cs="宋体"/>
          <w:color w:val="auto"/>
          <w:highlight w:val="none"/>
        </w:rPr>
      </w:pPr>
    </w:p>
    <w:p>
      <w:pPr>
        <w:pStyle w:val="20"/>
        <w:ind w:left="0" w:leftChars="0" w:firstLine="0" w:firstLineChars="0"/>
        <w:rPr>
          <w:rFonts w:ascii="宋体" w:hAnsi="宋体" w:cs="宋体"/>
          <w:color w:val="auto"/>
          <w:highlight w:val="none"/>
        </w:rPr>
      </w:pPr>
    </w:p>
    <w:p>
      <w:pPr>
        <w:pStyle w:val="20"/>
        <w:ind w:left="420" w:firstLine="480"/>
        <w:rPr>
          <w:rFonts w:ascii="宋体" w:hAnsi="宋体" w:cs="宋体"/>
          <w:color w:val="auto"/>
          <w:highlight w:val="none"/>
        </w:rPr>
      </w:pPr>
    </w:p>
    <w:p>
      <w:pPr>
        <w:tabs>
          <w:tab w:val="left" w:pos="4008"/>
        </w:tabs>
        <w:spacing w:line="360" w:lineRule="auto"/>
        <w:ind w:firstLine="964" w:firstLineChars="300"/>
        <w:rPr>
          <w:rFonts w:ascii="宋体" w:hAnsi="宋体" w:cs="宋体"/>
          <w:b/>
          <w:color w:val="auto"/>
          <w:sz w:val="32"/>
          <w:szCs w:val="28"/>
          <w:highlight w:val="none"/>
        </w:rPr>
      </w:pPr>
      <w:r>
        <w:rPr>
          <w:rFonts w:hint="eastAsia" w:ascii="宋体" w:hAnsi="宋体" w:cs="宋体"/>
          <w:b/>
          <w:color w:val="auto"/>
          <w:sz w:val="32"/>
          <w:szCs w:val="28"/>
          <w:highlight w:val="none"/>
        </w:rPr>
        <w:t>招标编号：闽莆建融【F-2022】采招022号</w:t>
      </w:r>
    </w:p>
    <w:p>
      <w:pPr>
        <w:tabs>
          <w:tab w:val="left" w:pos="4008"/>
        </w:tabs>
        <w:spacing w:line="360" w:lineRule="auto"/>
        <w:rPr>
          <w:rFonts w:ascii="宋体" w:hAnsi="宋体" w:cs="宋体"/>
          <w:b/>
          <w:color w:val="auto"/>
          <w:sz w:val="32"/>
          <w:szCs w:val="28"/>
          <w:highlight w:val="none"/>
        </w:rPr>
      </w:pPr>
      <w:r>
        <w:rPr>
          <w:rFonts w:hint="eastAsia" w:ascii="宋体" w:hAnsi="宋体" w:cs="宋体"/>
          <w:b/>
          <w:color w:val="auto"/>
          <w:sz w:val="32"/>
          <w:szCs w:val="28"/>
          <w:highlight w:val="none"/>
        </w:rPr>
        <w:t>项目名称：</w:t>
      </w:r>
      <w:r>
        <w:rPr>
          <w:rFonts w:hint="eastAsia" w:ascii="宋体" w:hAnsi="宋体" w:cs="宋体"/>
          <w:b/>
          <w:bCs/>
          <w:color w:val="auto"/>
          <w:sz w:val="32"/>
          <w:szCs w:val="32"/>
          <w:highlight w:val="none"/>
        </w:rPr>
        <w:t>湄洲湾职业技术学院校园操作系统及办公软件正版化服务</w:t>
      </w:r>
    </w:p>
    <w:p>
      <w:pPr>
        <w:pStyle w:val="13"/>
        <w:ind w:firstLine="0" w:firstLineChars="0"/>
        <w:rPr>
          <w:rFonts w:ascii="宋体" w:hAnsi="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pStyle w:val="52"/>
        <w:ind w:firstLine="0" w:firstLineChars="0"/>
        <w:rPr>
          <w:rFonts w:ascii="宋体" w:hAnsi="宋体" w:eastAsia="宋体" w:cs="宋体"/>
          <w:color w:val="auto"/>
          <w:highlight w:val="none"/>
        </w:rPr>
      </w:pP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28"/>
          <w:highlight w:val="none"/>
        </w:rPr>
        <w:t xml:space="preserve"> 招标人：湄洲湾职业技术学院</w:t>
      </w:r>
      <w:r>
        <w:rPr>
          <w:rFonts w:hint="eastAsia" w:ascii="宋体" w:hAnsi="宋体" w:cs="宋体"/>
          <w:b/>
          <w:color w:val="auto"/>
          <w:sz w:val="32"/>
          <w:szCs w:val="32"/>
          <w:highlight w:val="none"/>
        </w:rPr>
        <w:t>（盖章）</w:t>
      </w:r>
    </w:p>
    <w:p>
      <w:pPr>
        <w:spacing w:line="36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招标代理机构：建融建设管理集团有限责任公司 （盖章）</w:t>
      </w:r>
    </w:p>
    <w:p>
      <w:pPr>
        <w:tabs>
          <w:tab w:val="left" w:pos="4008"/>
        </w:tabs>
        <w:spacing w:line="360" w:lineRule="auto"/>
        <w:ind w:firstLine="3534" w:firstLineChars="1100"/>
        <w:rPr>
          <w:rFonts w:ascii="宋体" w:hAnsi="宋体" w:cs="宋体"/>
          <w:b/>
          <w:color w:val="auto"/>
          <w:sz w:val="32"/>
          <w:szCs w:val="28"/>
          <w:highlight w:val="none"/>
        </w:rPr>
      </w:pPr>
      <w:r>
        <w:rPr>
          <w:rFonts w:hint="eastAsia" w:ascii="宋体" w:hAnsi="宋体" w:cs="宋体"/>
          <w:b/>
          <w:color w:val="auto"/>
          <w:sz w:val="32"/>
          <w:szCs w:val="28"/>
          <w:highlight w:val="none"/>
        </w:rPr>
        <w:t xml:space="preserve">二○二二年十月 </w:t>
      </w:r>
    </w:p>
    <w:p>
      <w:pPr>
        <w:rPr>
          <w:rFonts w:ascii="宋体" w:hAnsi="宋体" w:cs="宋体"/>
          <w:color w:val="auto"/>
          <w:highlight w:val="none"/>
        </w:rPr>
      </w:pPr>
      <w:r>
        <w:rPr>
          <w:rFonts w:hint="eastAsia" w:ascii="宋体" w:hAnsi="宋体" w:cs="宋体"/>
          <w:color w:val="auto"/>
          <w:highlight w:val="none"/>
        </w:rPr>
        <w:br w:type="page"/>
      </w:r>
    </w:p>
    <w:p>
      <w:pPr>
        <w:tabs>
          <w:tab w:val="left" w:pos="4008"/>
        </w:tabs>
        <w:spacing w:line="50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第一章 投标邀请</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u w:val="single"/>
        </w:rPr>
        <w:t xml:space="preserve">建融建设管理集团有限责任公司 </w:t>
      </w:r>
      <w:r>
        <w:rPr>
          <w:rFonts w:hint="eastAsia" w:ascii="宋体" w:hAnsi="宋体" w:cs="宋体"/>
          <w:color w:val="auto"/>
          <w:highlight w:val="none"/>
        </w:rPr>
        <w:t>采用</w:t>
      </w:r>
      <w:r>
        <w:rPr>
          <w:rFonts w:hint="eastAsia" w:ascii="宋体" w:hAnsi="宋体" w:cs="宋体"/>
          <w:color w:val="auto"/>
          <w:highlight w:val="none"/>
          <w:u w:val="single"/>
        </w:rPr>
        <w:t>公开招标方式</w:t>
      </w:r>
      <w:r>
        <w:rPr>
          <w:rFonts w:hint="eastAsia" w:ascii="宋体" w:hAnsi="宋体" w:cs="宋体"/>
          <w:color w:val="auto"/>
          <w:highlight w:val="none"/>
        </w:rPr>
        <w:t>组织</w:t>
      </w:r>
      <w:r>
        <w:rPr>
          <w:rFonts w:hint="eastAsia" w:ascii="宋体" w:hAnsi="宋体" w:cs="宋体"/>
          <w:color w:val="auto"/>
          <w:highlight w:val="none"/>
          <w:u w:val="single"/>
        </w:rPr>
        <w:t>湄洲湾职业技术学院校园操作系统及办公软件正版化服务</w:t>
      </w:r>
      <w:r>
        <w:rPr>
          <w:rFonts w:hint="eastAsia" w:ascii="宋体" w:hAnsi="宋体" w:cs="宋体"/>
          <w:color w:val="auto"/>
          <w:highlight w:val="none"/>
        </w:rPr>
        <w:t>（以下简称：“本项目”）的政府采购活动，现邀请供应商参加投标。</w:t>
      </w:r>
    </w:p>
    <w:p>
      <w:pPr>
        <w:snapToGrid w:val="0"/>
        <w:spacing w:line="400" w:lineRule="exact"/>
        <w:ind w:firstLine="480" w:firstLineChars="200"/>
        <w:rPr>
          <w:rFonts w:ascii="宋体" w:hAnsi="宋体" w:cs="宋体"/>
          <w:color w:val="auto"/>
          <w:sz w:val="24"/>
          <w:highlight w:val="none"/>
        </w:rPr>
      </w:pPr>
      <w:r>
        <w:rPr>
          <w:rFonts w:hint="eastAsia" w:ascii="宋体" w:hAnsi="宋体" w:cs="宋体"/>
          <w:bCs/>
          <w:color w:val="auto"/>
          <w:sz w:val="24"/>
          <w:highlight w:val="none"/>
        </w:rPr>
        <w:t>1、招标编号：闽莆建融【F-2022】采招022号</w:t>
      </w:r>
    </w:p>
    <w:p>
      <w:pPr>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2、预算金额、最高限价：详见《采购标的一览表》。</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3、招标内容及要求：详见《采购标的一览表》及招标文件第五章。</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4、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符合财政部、工信部文件（财库〔2020〕46号），适用于（所有合同包或品目号）。监狱企业，适用于（所有合同包或品目号）。促进残疾人就业 ，适用于（所有合同包或品目号）。信用记录，（所有合同包或品目号），按照下列规定执行：（1）投标人应在（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5、投标人的资格要求</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5.1法定条件：符合政府采购法第二十二条第一款规定的条件。</w:t>
      </w:r>
    </w:p>
    <w:p>
      <w:pPr>
        <w:pStyle w:val="18"/>
        <w:widowControl/>
        <w:snapToGrid w:val="0"/>
        <w:spacing w:line="400" w:lineRule="exact"/>
        <w:ind w:left="479" w:leftChars="228"/>
        <w:rPr>
          <w:rFonts w:ascii="宋体" w:hAnsi="宋体" w:cs="宋体"/>
          <w:color w:val="auto"/>
          <w:highlight w:val="none"/>
        </w:rPr>
      </w:pPr>
      <w:r>
        <w:rPr>
          <w:rFonts w:hint="eastAsia" w:ascii="宋体" w:hAnsi="宋体" w:cs="宋体"/>
          <w:color w:val="auto"/>
          <w:highlight w:val="none"/>
        </w:rPr>
        <w:t>5.2特定条件：</w:t>
      </w:r>
    </w:p>
    <w:tbl>
      <w:tblPr>
        <w:tblStyle w:val="21"/>
        <w:tblW w:w="9733"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50"/>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2250" w:type="dxa"/>
            <w:shd w:val="clear" w:color="auto" w:fill="auto"/>
            <w:vAlign w:val="center"/>
          </w:tcPr>
          <w:p>
            <w:pPr>
              <w:widowControl/>
              <w:snapToGrid w:val="0"/>
              <w:jc w:val="center"/>
              <w:rPr>
                <w:b/>
                <w:bCs/>
                <w:color w:val="auto"/>
                <w:highlight w:val="none"/>
              </w:rPr>
            </w:pPr>
            <w:r>
              <w:rPr>
                <w:rFonts w:ascii="宋体" w:hAnsi="宋体" w:cs="宋体"/>
                <w:b/>
                <w:bCs/>
                <w:color w:val="auto"/>
                <w:kern w:val="0"/>
                <w:sz w:val="24"/>
                <w:highlight w:val="none"/>
              </w:rPr>
              <w:t>明细</w:t>
            </w:r>
          </w:p>
        </w:tc>
        <w:tc>
          <w:tcPr>
            <w:tcW w:w="7483" w:type="dxa"/>
            <w:shd w:val="clear" w:color="auto" w:fill="auto"/>
            <w:vAlign w:val="center"/>
          </w:tcPr>
          <w:p>
            <w:pPr>
              <w:widowControl/>
              <w:snapToGrid w:val="0"/>
              <w:jc w:val="center"/>
              <w:rPr>
                <w:b/>
                <w:bCs/>
                <w:color w:val="auto"/>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250" w:type="dxa"/>
            <w:shd w:val="clear" w:color="auto" w:fill="auto"/>
            <w:vAlign w:val="center"/>
          </w:tcPr>
          <w:p>
            <w:pPr>
              <w:widowControl/>
              <w:snapToGrid w:val="0"/>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7483" w:type="dxa"/>
            <w:shd w:val="clear" w:color="auto" w:fill="auto"/>
            <w:vAlign w:val="center"/>
          </w:tcPr>
          <w:p>
            <w:pPr>
              <w:widowControl/>
              <w:snapToGrid w:val="0"/>
              <w:ind w:left="216" w:leftChars="103" w:right="103" w:rightChars="49"/>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2250" w:type="dxa"/>
            <w:shd w:val="clear" w:color="auto" w:fill="auto"/>
            <w:vAlign w:val="center"/>
          </w:tcPr>
          <w:p>
            <w:pPr>
              <w:widowControl/>
              <w:snapToGrid w:val="0"/>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7483" w:type="dxa"/>
            <w:shd w:val="clear" w:color="auto" w:fill="auto"/>
            <w:vAlign w:val="center"/>
          </w:tcPr>
          <w:p>
            <w:pPr>
              <w:widowControl/>
              <w:snapToGrid w:val="0"/>
              <w:ind w:left="216" w:leftChars="103" w:right="103" w:rightChars="49"/>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w:t>
            </w:r>
            <w:r>
              <w:rPr>
                <w:rFonts w:ascii="宋体" w:hAnsi="宋体" w:cs="宋体"/>
                <w:color w:val="auto"/>
                <w:kern w:val="0"/>
                <w:sz w:val="24"/>
                <w:highlight w:val="none"/>
              </w:rPr>
              <w:t>4、本采购项目</w:t>
            </w:r>
            <w:r>
              <w:rPr>
                <w:rFonts w:hint="eastAsia" w:ascii="宋体" w:hAnsi="宋体" w:cs="宋体"/>
                <w:color w:val="auto"/>
                <w:kern w:val="0"/>
                <w:sz w:val="24"/>
                <w:highlight w:val="none"/>
              </w:rPr>
              <w:t>属于服务类招标，</w:t>
            </w:r>
            <w:r>
              <w:rPr>
                <w:rFonts w:ascii="宋体" w:hAnsi="宋体" w:cs="宋体"/>
                <w:color w:val="auto"/>
                <w:kern w:val="0"/>
                <w:sz w:val="24"/>
                <w:highlight w:val="none"/>
              </w:rPr>
              <w:t>所属行业为其他未列明行业。</w:t>
            </w:r>
          </w:p>
        </w:tc>
      </w:tr>
    </w:tbl>
    <w:p>
      <w:pPr>
        <w:pStyle w:val="18"/>
        <w:widowControl/>
        <w:snapToGrid w:val="0"/>
        <w:spacing w:line="400" w:lineRule="exact"/>
        <w:ind w:firstLine="480" w:firstLineChars="200"/>
        <w:rPr>
          <w:rFonts w:ascii="宋体" w:hAnsi="宋体" w:cs="宋体"/>
          <w:color w:val="auto"/>
          <w:kern w:val="0"/>
          <w:highlight w:val="none"/>
        </w:rPr>
      </w:pPr>
      <w:r>
        <w:rPr>
          <w:rFonts w:hint="eastAsia" w:ascii="宋体" w:hAnsi="宋体" w:cs="宋体"/>
          <w:color w:val="auto"/>
          <w:highlight w:val="none"/>
        </w:rPr>
        <w:t>5.3是否接受联合体投标：不接受。</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※根据上述资格要求，投标文件中应提交的“投标人的资格及资信证明文件”详见招标文件第四章。</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6、报名</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6、招标文件的获取</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6.1、招标文件获取期限：详见招标公告或更正公告，若不一致，以更正公告为准。</w:t>
      </w:r>
    </w:p>
    <w:p>
      <w:pPr>
        <w:tabs>
          <w:tab w:val="left" w:pos="1134"/>
        </w:tabs>
        <w:snapToGrid w:val="0"/>
        <w:spacing w:line="400" w:lineRule="exact"/>
        <w:ind w:right="105" w:rightChars="50" w:firstLine="480" w:firstLineChars="200"/>
        <w:rPr>
          <w:rFonts w:ascii="宋体" w:hAnsi="宋体" w:cs="宋体"/>
          <w:color w:val="auto"/>
          <w:sz w:val="24"/>
          <w:highlight w:val="none"/>
        </w:rPr>
      </w:pPr>
      <w:r>
        <w:rPr>
          <w:rFonts w:hint="eastAsia" w:ascii="宋体" w:hAnsi="宋体" w:cs="宋体"/>
          <w:color w:val="auto"/>
          <w:sz w:val="24"/>
          <w:highlight w:val="none"/>
        </w:rPr>
        <w:t>6.2获取地点及方式：</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（莆田市城厢区荣华家园3号楼5层）。</w:t>
      </w:r>
    </w:p>
    <w:p>
      <w:pPr>
        <w:widowControl/>
        <w:snapToGrid w:val="0"/>
        <w:spacing w:line="40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6.3、招标文件售价：100元。</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7、投标截止</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7.1投标截止时间：详见招标公告或更正公告（若有），若不一致，以更正公告（若有）为准。</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8、开标时间及地点：详见招标公告或更正公告（若有），若不一致，以更正公告（若有）为准。</w:t>
      </w:r>
      <w:r>
        <w:rPr>
          <w:rStyle w:val="25"/>
          <w:rFonts w:hint="eastAsia" w:ascii="宋体" w:hAnsi="宋体" w:cs="宋体"/>
          <w:color w:val="auto"/>
          <w:highlight w:val="none"/>
        </w:rPr>
        <w:t> </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9、公告期限</w:t>
      </w:r>
    </w:p>
    <w:p>
      <w:pPr>
        <w:autoSpaceDN w:val="0"/>
        <w:snapToGrid w:val="0"/>
        <w:spacing w:line="400" w:lineRule="exact"/>
        <w:ind w:firstLine="480" w:firstLineChars="200"/>
        <w:rPr>
          <w:rFonts w:ascii="宋体" w:hAnsi="宋体" w:cs="宋体"/>
          <w:color w:val="auto"/>
          <w:highlight w:val="none"/>
        </w:rPr>
      </w:pPr>
      <w:r>
        <w:rPr>
          <w:rFonts w:hint="eastAsia" w:ascii="宋体" w:hAnsi="宋体" w:cs="宋体"/>
          <w:color w:val="auto"/>
          <w:sz w:val="24"/>
          <w:highlight w:val="none"/>
        </w:rPr>
        <w:t>9.1招标公告的公告期限：</w:t>
      </w:r>
      <w:r>
        <w:rPr>
          <w:rFonts w:hint="eastAsia" w:ascii="宋体" w:hAnsi="宋体" w:cs="宋体"/>
          <w:color w:val="auto"/>
          <w:spacing w:val="-6"/>
          <w:sz w:val="24"/>
          <w:highlight w:val="none"/>
        </w:rPr>
        <w:t>指定的政府采购信息发布媒体最先发布公告之日起5个工作日。</w:t>
      </w:r>
    </w:p>
    <w:p>
      <w:pPr>
        <w:pStyle w:val="18"/>
        <w:widowControl/>
        <w:snapToGrid w:val="0"/>
        <w:spacing w:line="400" w:lineRule="exact"/>
        <w:ind w:firstLine="480"/>
        <w:rPr>
          <w:rFonts w:ascii="宋体" w:hAnsi="宋体" w:cs="宋体"/>
          <w:color w:val="auto"/>
          <w:highlight w:val="none"/>
        </w:rPr>
      </w:pPr>
      <w:r>
        <w:rPr>
          <w:rFonts w:hint="eastAsia" w:ascii="宋体" w:hAnsi="宋体" w:cs="宋体"/>
          <w:color w:val="auto"/>
          <w:highlight w:val="none"/>
        </w:rPr>
        <w:t>9.2招标文件公告期限：招标文件随同招标公告一并发布，其公告期限与本章第9.1条载明的期限保持一致。</w:t>
      </w:r>
    </w:p>
    <w:p>
      <w:pPr>
        <w:snapToGrid w:val="0"/>
        <w:spacing w:line="400" w:lineRule="exact"/>
        <w:ind w:firstLine="480" w:firstLineChars="200"/>
        <w:rPr>
          <w:rFonts w:ascii="宋体" w:hAnsi="宋体" w:cs="宋体"/>
          <w:bCs/>
          <w:color w:val="auto"/>
          <w:sz w:val="24"/>
          <w:highlight w:val="none"/>
        </w:rPr>
      </w:pPr>
      <w:r>
        <w:rPr>
          <w:rFonts w:hint="eastAsia" w:ascii="宋体" w:hAnsi="宋体" w:cs="宋体"/>
          <w:color w:val="auto"/>
          <w:sz w:val="24"/>
          <w:highlight w:val="none"/>
        </w:rPr>
        <w:t>10、</w:t>
      </w:r>
      <w:r>
        <w:rPr>
          <w:rFonts w:hint="eastAsia" w:ascii="宋体" w:hAnsi="宋体" w:cs="宋体"/>
          <w:bCs/>
          <w:color w:val="auto"/>
          <w:sz w:val="24"/>
          <w:highlight w:val="none"/>
        </w:rPr>
        <w:t>投标须知：</w:t>
      </w:r>
    </w:p>
    <w:p>
      <w:pPr>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10.1建融建设管理集团有限责任公司 指定账户：</w:t>
      </w:r>
    </w:p>
    <w:p>
      <w:pPr>
        <w:pStyle w:val="7"/>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保证金缴纳帐户：保证金必须以供应商</w:t>
      </w:r>
      <w:r>
        <w:rPr>
          <w:rFonts w:hint="eastAsia" w:ascii="宋体" w:hAnsi="宋体" w:cs="宋体"/>
          <w:b/>
          <w:color w:val="auto"/>
          <w:sz w:val="24"/>
          <w:highlight w:val="none"/>
        </w:rPr>
        <w:t>银行帐户公对公</w:t>
      </w:r>
      <w:r>
        <w:rPr>
          <w:rFonts w:hint="eastAsia" w:ascii="宋体" w:hAnsi="宋体" w:cs="宋体"/>
          <w:color w:val="auto"/>
          <w:sz w:val="24"/>
          <w:highlight w:val="none"/>
        </w:rPr>
        <w:t>转账至:</w:t>
      </w:r>
    </w:p>
    <w:p>
      <w:pPr>
        <w:pStyle w:val="7"/>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pStyle w:val="7"/>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pStyle w:val="7"/>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帐  号:13400201040007163</w:t>
      </w:r>
    </w:p>
    <w:p>
      <w:pPr>
        <w:snapToGrid w:val="0"/>
        <w:spacing w:line="400" w:lineRule="exact"/>
        <w:ind w:right="-218" w:rightChars="-104" w:firstLine="480" w:firstLineChars="200"/>
        <w:rPr>
          <w:rFonts w:ascii="宋体" w:hAnsi="宋体" w:cs="宋体"/>
          <w:color w:val="auto"/>
          <w:sz w:val="24"/>
          <w:highlight w:val="none"/>
        </w:rPr>
      </w:pPr>
      <w:r>
        <w:rPr>
          <w:rFonts w:hint="eastAsia" w:ascii="宋体" w:hAnsi="宋体" w:cs="宋体"/>
          <w:color w:val="auto"/>
          <w:sz w:val="24"/>
          <w:highlight w:val="none"/>
        </w:rPr>
        <w:t>11、对本次招标提出询问，请按以下方式联系：</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采购单位：湄洲湾职业技术学院</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地址：莆田市涵江区梧塘镇荔涵东大道1001号</w:t>
      </w:r>
    </w:p>
    <w:p>
      <w:pPr>
        <w:snapToGrid w:val="0"/>
        <w:spacing w:line="400" w:lineRule="exact"/>
        <w:ind w:left="40" w:leftChars="19" w:firstLine="756" w:firstLineChars="315"/>
        <w:rPr>
          <w:rFonts w:ascii="宋体" w:hAnsi="宋体" w:cs="宋体"/>
          <w:color w:val="auto"/>
          <w:kern w:val="0"/>
          <w:sz w:val="24"/>
          <w:highlight w:val="none"/>
        </w:rPr>
      </w:pPr>
      <w:r>
        <w:rPr>
          <w:rFonts w:hint="eastAsia" w:ascii="宋体" w:hAnsi="宋体" w:cs="宋体"/>
          <w:color w:val="auto"/>
          <w:kern w:val="0"/>
          <w:sz w:val="24"/>
          <w:highlight w:val="none"/>
        </w:rPr>
        <w:t>联系人：潘老师</w:t>
      </w:r>
    </w:p>
    <w:p>
      <w:pPr>
        <w:snapToGrid w:val="0"/>
        <w:spacing w:line="400" w:lineRule="exact"/>
        <w:ind w:left="40" w:leftChars="19" w:firstLine="756" w:firstLineChars="315"/>
        <w:rPr>
          <w:rFonts w:ascii="宋体" w:hAnsi="宋体" w:cs="宋体"/>
          <w:color w:val="auto"/>
          <w:kern w:val="0"/>
          <w:sz w:val="24"/>
          <w:highlight w:val="none"/>
        </w:rPr>
      </w:pPr>
      <w:r>
        <w:rPr>
          <w:rFonts w:hint="eastAsia" w:ascii="宋体" w:hAnsi="宋体" w:cs="宋体"/>
          <w:color w:val="auto"/>
          <w:kern w:val="0"/>
          <w:sz w:val="24"/>
          <w:highlight w:val="none"/>
        </w:rPr>
        <w:t>电  话：18605941531</w:t>
      </w:r>
    </w:p>
    <w:p>
      <w:pPr>
        <w:snapToGrid w:val="0"/>
        <w:spacing w:line="400" w:lineRule="exact"/>
        <w:ind w:firstLine="720" w:firstLineChars="300"/>
        <w:rPr>
          <w:rFonts w:ascii="宋体" w:hAnsi="宋体" w:cs="宋体"/>
          <w:color w:val="auto"/>
          <w:kern w:val="0"/>
          <w:sz w:val="24"/>
          <w:highlight w:val="none"/>
        </w:rPr>
      </w:pP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采购代理机构联系方式</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采购代理机构：建融建设管理集团有限责任公司</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地  址：莆田市城厢区荣华嘉园3号楼5层 </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 xml:space="preserve">邮  编：  351100          </w:t>
      </w:r>
      <w:r>
        <w:rPr>
          <w:rFonts w:hint="eastAsia" w:ascii="宋体" w:hAnsi="宋体" w:cs="宋体"/>
          <w:color w:val="auto"/>
          <w:kern w:val="0"/>
          <w:sz w:val="24"/>
          <w:highlight w:val="none"/>
        </w:rPr>
        <w:tab/>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电  话： 13599466266（微信同号）</w:t>
      </w:r>
    </w:p>
    <w:p>
      <w:pPr>
        <w:snapToGrid w:val="0"/>
        <w:spacing w:line="400" w:lineRule="exact"/>
        <w:ind w:firstLine="840" w:firstLineChars="350"/>
        <w:rPr>
          <w:rFonts w:ascii="宋体" w:hAnsi="宋体" w:cs="宋体"/>
          <w:color w:val="auto"/>
          <w:kern w:val="0"/>
          <w:sz w:val="24"/>
          <w:highlight w:val="none"/>
        </w:rPr>
      </w:pPr>
      <w:r>
        <w:rPr>
          <w:rFonts w:hint="eastAsia" w:ascii="宋体" w:hAnsi="宋体" w:cs="宋体"/>
          <w:color w:val="auto"/>
          <w:kern w:val="0"/>
          <w:sz w:val="24"/>
          <w:highlight w:val="none"/>
        </w:rPr>
        <w:t>邮  箱： 149870167@qq.com</w:t>
      </w:r>
    </w:p>
    <w:p>
      <w:pPr>
        <w:rPr>
          <w:rFonts w:ascii="宋体" w:hAnsi="宋体" w:cs="宋体"/>
          <w:b/>
          <w:color w:val="auto"/>
          <w:sz w:val="24"/>
          <w:highlight w:val="none"/>
        </w:rPr>
      </w:pPr>
      <w:r>
        <w:rPr>
          <w:rFonts w:hint="eastAsia" w:ascii="宋体" w:hAnsi="宋体" w:cs="宋体"/>
          <w:b/>
          <w:color w:val="auto"/>
          <w:sz w:val="24"/>
          <w:highlight w:val="none"/>
        </w:rPr>
        <w:br w:type="page"/>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附1：采购标的一览表</w:t>
      </w:r>
    </w:p>
    <w:p>
      <w:pPr>
        <w:autoSpaceDN w:val="0"/>
        <w:spacing w:before="75" w:after="75" w:line="360" w:lineRule="auto"/>
        <w:rPr>
          <w:rFonts w:ascii="宋体" w:hAnsi="宋体" w:cs="宋体"/>
          <w:color w:val="auto"/>
          <w:sz w:val="24"/>
          <w:highlight w:val="none"/>
        </w:rPr>
      </w:pPr>
      <w:r>
        <w:rPr>
          <w:rFonts w:hint="eastAsia" w:ascii="宋体" w:hAnsi="宋体" w:cs="宋体"/>
          <w:color w:val="auto"/>
          <w:sz w:val="24"/>
          <w:highlight w:val="none"/>
        </w:rPr>
        <w:t xml:space="preserve">                                                            金额单位：人民币/元</w:t>
      </w:r>
    </w:p>
    <w:tbl>
      <w:tblPr>
        <w:tblStyle w:val="21"/>
        <w:tblW w:w="8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5" w:type="dxa"/>
          <w:bottom w:w="0" w:type="dxa"/>
          <w:right w:w="15" w:type="dxa"/>
        </w:tblCellMar>
      </w:tblPr>
      <w:tblGrid>
        <w:gridCol w:w="728"/>
        <w:gridCol w:w="3915"/>
        <w:gridCol w:w="780"/>
        <w:gridCol w:w="119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790" w:hRule="atLeast"/>
        </w:trPr>
        <w:tc>
          <w:tcPr>
            <w:tcW w:w="728"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合同包</w:t>
            </w:r>
          </w:p>
        </w:tc>
        <w:tc>
          <w:tcPr>
            <w:tcW w:w="3915"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品目名称（采购标的）</w:t>
            </w:r>
          </w:p>
        </w:tc>
        <w:tc>
          <w:tcPr>
            <w:tcW w:w="780"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数量</w:t>
            </w:r>
          </w:p>
        </w:tc>
        <w:tc>
          <w:tcPr>
            <w:tcW w:w="1193" w:type="dxa"/>
            <w:noWrap/>
            <w:vAlign w:val="center"/>
          </w:tcPr>
          <w:p>
            <w:pPr>
              <w:autoSpaceDN w:val="0"/>
              <w:jc w:val="center"/>
              <w:textAlignment w:val="center"/>
              <w:rPr>
                <w:rFonts w:ascii="宋体" w:hAnsi="宋体" w:cs="宋体"/>
                <w:b/>
                <w:bCs/>
                <w:color w:val="auto"/>
                <w:sz w:val="24"/>
                <w:highlight w:val="none"/>
              </w:rPr>
            </w:pPr>
            <w:r>
              <w:rPr>
                <w:rFonts w:hint="eastAsia" w:ascii="宋体" w:hAnsi="宋体" w:cs="宋体"/>
                <w:b/>
                <w:bCs/>
                <w:color w:val="auto"/>
                <w:sz w:val="24"/>
                <w:highlight w:val="none"/>
              </w:rPr>
              <w:t>小计（元）</w:t>
            </w:r>
          </w:p>
        </w:tc>
        <w:tc>
          <w:tcPr>
            <w:tcW w:w="2034" w:type="dxa"/>
            <w:noWrap/>
            <w:vAlign w:val="center"/>
          </w:tcPr>
          <w:p>
            <w:pPr>
              <w:autoSpaceDN w:val="0"/>
              <w:ind w:firstLine="723" w:firstLineChars="300"/>
              <w:textAlignment w:val="center"/>
              <w:rPr>
                <w:rFonts w:ascii="宋体" w:hAnsi="宋体" w:cs="宋体"/>
                <w:b/>
                <w:bCs/>
                <w:color w:val="auto"/>
                <w:sz w:val="24"/>
                <w:highlight w:val="none"/>
              </w:rPr>
            </w:pPr>
            <w:r>
              <w:rPr>
                <w:rFonts w:hint="eastAsia" w:ascii="宋体" w:hAnsi="宋体" w:cs="宋体"/>
                <w:b/>
                <w:bCs/>
                <w:color w:val="auto"/>
                <w:sz w:val="24"/>
                <w:highlight w:val="none"/>
              </w:rPr>
              <w:t>保证金（元）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5" w:type="dxa"/>
            <w:bottom w:w="0" w:type="dxa"/>
            <w:right w:w="15" w:type="dxa"/>
          </w:tblCellMar>
        </w:tblPrEx>
        <w:trPr>
          <w:trHeight w:val="1357" w:hRule="exact"/>
        </w:trPr>
        <w:tc>
          <w:tcPr>
            <w:tcW w:w="728" w:type="dxa"/>
            <w:noWrap/>
            <w:vAlign w:val="center"/>
          </w:tcPr>
          <w:p>
            <w:pPr>
              <w:widowControl/>
              <w:jc w:val="center"/>
              <w:rPr>
                <w:rFonts w:ascii="宋体" w:hAnsi="宋体" w:cs="宋体"/>
                <w:color w:val="auto"/>
                <w:sz w:val="24"/>
                <w:highlight w:val="none"/>
              </w:rPr>
            </w:pPr>
            <w:r>
              <w:rPr>
                <w:rFonts w:hint="eastAsia" w:ascii="宋体" w:hAnsi="宋体" w:cs="宋体"/>
                <w:color w:val="auto"/>
                <w:kern w:val="0"/>
                <w:sz w:val="18"/>
                <w:szCs w:val="18"/>
                <w:highlight w:val="none"/>
              </w:rPr>
              <w:t>1</w:t>
            </w:r>
          </w:p>
        </w:tc>
        <w:tc>
          <w:tcPr>
            <w:tcW w:w="3915" w:type="dxa"/>
            <w:noWrap/>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湄洲湾职业技术学院校园操作系统及办公软件正版化服务</w:t>
            </w:r>
          </w:p>
        </w:tc>
        <w:tc>
          <w:tcPr>
            <w:tcW w:w="780" w:type="dxa"/>
            <w:noWrap/>
            <w:vAlign w:val="center"/>
          </w:tcPr>
          <w:p>
            <w:pPr>
              <w:spacing w:line="300" w:lineRule="auto"/>
              <w:jc w:val="center"/>
              <w:rPr>
                <w:rFonts w:ascii="宋体" w:hAnsi="宋体" w:cs="宋体"/>
                <w:color w:val="auto"/>
                <w:sz w:val="24"/>
                <w:highlight w:val="none"/>
              </w:rPr>
            </w:pPr>
            <w:r>
              <w:rPr>
                <w:rFonts w:hint="eastAsia" w:ascii="宋体" w:hAnsi="宋体" w:cs="宋体"/>
                <w:color w:val="auto"/>
                <w:sz w:val="24"/>
                <w:highlight w:val="none"/>
              </w:rPr>
              <w:t>1年</w:t>
            </w:r>
          </w:p>
        </w:tc>
        <w:tc>
          <w:tcPr>
            <w:tcW w:w="1193" w:type="dxa"/>
            <w:noWrap/>
            <w:vAlign w:val="center"/>
          </w:tcPr>
          <w:p>
            <w:pPr>
              <w:spacing w:line="360" w:lineRule="auto"/>
              <w:jc w:val="center"/>
              <w:rPr>
                <w:rFonts w:ascii="宋体" w:hAnsi="宋体" w:cs="宋体"/>
                <w:color w:val="auto"/>
                <w:sz w:val="24"/>
                <w:highlight w:val="none"/>
              </w:rPr>
            </w:pPr>
            <w:r>
              <w:rPr>
                <w:rFonts w:hint="eastAsia" w:asciiTheme="minorEastAsia" w:hAnsiTheme="minorEastAsia" w:cstheme="minorEastAsia"/>
                <w:color w:val="auto"/>
                <w:szCs w:val="21"/>
                <w:highlight w:val="none"/>
              </w:rPr>
              <w:t>260000</w:t>
            </w:r>
          </w:p>
        </w:tc>
        <w:tc>
          <w:tcPr>
            <w:tcW w:w="2034" w:type="dxa"/>
            <w:noWrap/>
            <w:vAlign w:val="center"/>
          </w:tcPr>
          <w:p>
            <w:pPr>
              <w:spacing w:line="360" w:lineRule="auto"/>
              <w:jc w:val="center"/>
              <w:rPr>
                <w:rFonts w:ascii="宋体" w:hAnsi="宋体" w:cs="宋体"/>
                <w:color w:val="auto"/>
                <w:sz w:val="24"/>
                <w:highlight w:val="none"/>
              </w:rPr>
            </w:pPr>
            <w:r>
              <w:rPr>
                <w:rFonts w:hint="eastAsia" w:asciiTheme="minorEastAsia" w:hAnsiTheme="minorEastAsia" w:cstheme="minorEastAsia"/>
                <w:color w:val="auto"/>
                <w:szCs w:val="21"/>
                <w:highlight w:val="none"/>
              </w:rPr>
              <w:t>2600</w:t>
            </w:r>
          </w:p>
        </w:tc>
      </w:tr>
    </w:tbl>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备注：</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1、供应商可按合同包报价，对同一合同包内所有品目号内容响应必须完整。成交以合同包为单位。</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2、本次采购设有最高限价，最高限价为260000元，超过最高限价视为无效报价。</w:t>
      </w:r>
    </w:p>
    <w:p>
      <w:pPr>
        <w:pStyle w:val="19"/>
        <w:jc w:val="both"/>
        <w:rPr>
          <w:rFonts w:ascii="宋体" w:hAnsi="宋体" w:cs="宋体"/>
          <w:color w:val="auto"/>
          <w:highlight w:val="none"/>
        </w:rPr>
      </w:pPr>
    </w:p>
    <w:p>
      <w:pPr>
        <w:pStyle w:val="11"/>
        <w:tabs>
          <w:tab w:val="left" w:pos="8360"/>
        </w:tabs>
        <w:spacing w:line="440" w:lineRule="exact"/>
        <w:jc w:val="left"/>
        <w:rPr>
          <w:rFonts w:hAnsi="宋体" w:cs="宋体"/>
          <w:color w:val="auto"/>
          <w:sz w:val="24"/>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pStyle w:val="20"/>
        <w:ind w:left="420" w:firstLine="643"/>
        <w:rPr>
          <w:rFonts w:ascii="宋体" w:hAnsi="宋体" w:cs="宋体"/>
          <w:b/>
          <w:bCs/>
          <w:color w:val="auto"/>
          <w:sz w:val="32"/>
          <w:highlight w:val="none"/>
        </w:rPr>
      </w:pPr>
    </w:p>
    <w:p>
      <w:pPr>
        <w:pStyle w:val="20"/>
        <w:ind w:left="420" w:firstLine="643"/>
        <w:rPr>
          <w:rFonts w:ascii="宋体" w:hAnsi="宋体" w:cs="宋体"/>
          <w:b/>
          <w:bCs/>
          <w:color w:val="auto"/>
          <w:sz w:val="32"/>
          <w:highlight w:val="none"/>
        </w:rPr>
      </w:pPr>
    </w:p>
    <w:p>
      <w:pPr>
        <w:spacing w:before="312" w:beforeLines="100" w:after="312" w:afterLines="100" w:line="400" w:lineRule="exact"/>
        <w:jc w:val="center"/>
        <w:rPr>
          <w:rFonts w:ascii="宋体" w:hAnsi="宋体" w:cs="宋体"/>
          <w:b/>
          <w:bCs/>
          <w:color w:val="auto"/>
          <w:kern w:val="0"/>
          <w:sz w:val="32"/>
          <w:highlight w:val="none"/>
        </w:rPr>
      </w:pPr>
    </w:p>
    <w:p>
      <w:pPr>
        <w:rPr>
          <w:rFonts w:ascii="宋体" w:hAnsi="宋体" w:cs="宋体"/>
          <w:color w:val="auto"/>
          <w:highlight w:val="none"/>
        </w:rPr>
      </w:pPr>
      <w:r>
        <w:rPr>
          <w:rFonts w:hint="eastAsia" w:ascii="宋体" w:hAnsi="宋体" w:cs="宋体"/>
          <w:b/>
          <w:bCs/>
          <w:color w:val="auto"/>
          <w:kern w:val="0"/>
          <w:sz w:val="32"/>
          <w:highlight w:val="none"/>
        </w:rPr>
        <w:br w:type="page"/>
      </w:r>
    </w:p>
    <w:p>
      <w:pPr>
        <w:spacing w:before="312" w:beforeLines="100" w:after="312" w:afterLines="100" w:line="400" w:lineRule="exact"/>
        <w:jc w:val="center"/>
        <w:rPr>
          <w:rFonts w:ascii="宋体" w:hAnsi="宋体" w:cs="宋体"/>
          <w:b/>
          <w:color w:val="auto"/>
          <w:sz w:val="32"/>
          <w:szCs w:val="32"/>
          <w:highlight w:val="none"/>
        </w:rPr>
      </w:pPr>
      <w:r>
        <w:rPr>
          <w:rFonts w:hint="eastAsia" w:ascii="宋体" w:hAnsi="宋体" w:cs="宋体"/>
          <w:b/>
          <w:bCs/>
          <w:color w:val="auto"/>
          <w:kern w:val="0"/>
          <w:sz w:val="32"/>
          <w:highlight w:val="none"/>
        </w:rPr>
        <w:t>第二章   投标人须知前附表（表1）</w:t>
      </w:r>
    </w:p>
    <w:p>
      <w:pPr>
        <w:spacing w:line="360" w:lineRule="auto"/>
        <w:ind w:firstLine="354" w:firstLineChars="147"/>
        <w:outlineLvl w:val="1"/>
        <w:rPr>
          <w:rFonts w:ascii="宋体" w:hAnsi="宋体" w:cs="宋体"/>
          <w:b/>
          <w:color w:val="auto"/>
          <w:sz w:val="32"/>
          <w:szCs w:val="32"/>
          <w:highlight w:val="none"/>
        </w:rPr>
      </w:pPr>
      <w:r>
        <w:rPr>
          <w:rFonts w:hint="eastAsia" w:ascii="宋体" w:hAnsi="宋体" w:cs="宋体"/>
          <w:b/>
          <w:bCs/>
          <w:color w:val="auto"/>
          <w:kern w:val="0"/>
          <w:sz w:val="24"/>
          <w:highlight w:val="none"/>
        </w:rPr>
        <w:t>表1</w:t>
      </w:r>
    </w:p>
    <w:tbl>
      <w:tblPr>
        <w:tblStyle w:val="21"/>
        <w:tblW w:w="9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782"/>
        <w:gridCol w:w="7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9886" w:type="dxa"/>
            <w:gridSpan w:val="3"/>
            <w:vAlign w:val="center"/>
          </w:tcPr>
          <w:p>
            <w:pPr>
              <w:spacing w:line="360" w:lineRule="auto"/>
              <w:ind w:firstLine="964" w:firstLineChars="400"/>
              <w:rPr>
                <w:rFonts w:ascii="宋体" w:hAnsi="宋体" w:cs="宋体"/>
                <w:b/>
                <w:color w:val="auto"/>
                <w:sz w:val="24"/>
                <w:highlight w:val="none"/>
              </w:rPr>
            </w:pPr>
            <w:r>
              <w:rPr>
                <w:rFonts w:hint="eastAsia" w:ascii="宋体" w:hAnsi="宋体" w:cs="宋体"/>
                <w:b/>
                <w:color w:val="auto"/>
                <w:sz w:val="24"/>
                <w:highlight w:val="none"/>
              </w:rPr>
              <w:t>特别提示：</w:t>
            </w:r>
            <w:r>
              <w:rPr>
                <w:rFonts w:hint="eastAsia" w:ascii="宋体" w:hAnsi="宋体" w:cs="宋体"/>
                <w:b/>
                <w:bCs/>
                <w:color w:val="auto"/>
                <w:sz w:val="24"/>
                <w:highlight w:val="none"/>
              </w:rPr>
              <w:t>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项号</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招标文件（第三章）</w:t>
            </w:r>
          </w:p>
        </w:tc>
        <w:tc>
          <w:tcPr>
            <w:tcW w:w="7636"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82" w:type="dxa"/>
            <w:vAlign w:val="center"/>
          </w:tcPr>
          <w:p>
            <w:pPr>
              <w:widowControl/>
              <w:spacing w:line="360" w:lineRule="auto"/>
              <w:jc w:val="center"/>
              <w:rPr>
                <w:rFonts w:ascii="宋体" w:hAnsi="宋体" w:cs="宋体"/>
                <w:color w:val="auto"/>
                <w:kern w:val="0"/>
                <w:sz w:val="24"/>
                <w:highlight w:val="none"/>
              </w:rPr>
            </w:pPr>
          </w:p>
        </w:tc>
        <w:tc>
          <w:tcPr>
            <w:tcW w:w="7636" w:type="dxa"/>
            <w:vAlign w:val="center"/>
          </w:tcPr>
          <w:p>
            <w:pPr>
              <w:widowControl/>
              <w:spacing w:line="360" w:lineRule="auto"/>
              <w:jc w:val="left"/>
              <w:rPr>
                <w:rFonts w:ascii="宋体" w:hAnsi="宋体" w:cs="宋体"/>
                <w:color w:val="auto"/>
                <w:highlight w:val="none"/>
              </w:rPr>
            </w:pPr>
            <w:r>
              <w:rPr>
                <w:rStyle w:val="25"/>
                <w:rFonts w:hint="eastAsia" w:ascii="宋体" w:hAnsi="宋体" w:cs="宋体"/>
                <w:b w:val="0"/>
                <w:color w:val="auto"/>
                <w:sz w:val="24"/>
                <w:highlight w:val="none"/>
              </w:rPr>
              <w:t>是否组织现场考察或召开开标前答疑会：</w:t>
            </w:r>
            <w:r>
              <w:rPr>
                <w:rFonts w:hint="eastAsia" w:ascii="宋体" w:hAnsi="宋体" w:cs="宋体"/>
                <w:color w:val="auto"/>
                <w:sz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82"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投标文件的份数</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纸质投标文件：</w:t>
            </w:r>
          </w:p>
          <w:p>
            <w:pPr>
              <w:widowControl/>
              <w:numPr>
                <w:ilvl w:val="0"/>
                <w:numId w:val="1"/>
              </w:num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资格及资信证明部分的正本1份、副本1份，报价部分的正本1份、副本1份，技术商务部分的正本1份、副本1份。</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允许散装或活页装订的内容或材料：</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（1）投标文件的补充、修改或撤回；</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是否允许中标人将本项目的非主体、非关键性工作进行分包</w:t>
            </w:r>
          </w:p>
        </w:tc>
        <w:tc>
          <w:tcPr>
            <w:tcW w:w="7636" w:type="dxa"/>
            <w:vAlign w:val="center"/>
          </w:tcPr>
          <w:p>
            <w:pPr>
              <w:widowControl/>
              <w:spacing w:line="360" w:lineRule="auto"/>
              <w:jc w:val="left"/>
              <w:rPr>
                <w:rFonts w:ascii="宋体" w:hAnsi="宋体" w:cs="宋体"/>
                <w:color w:val="auto"/>
                <w:kern w:val="0"/>
                <w:sz w:val="24"/>
                <w:highlight w:val="none"/>
              </w:rPr>
            </w:pP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投标有效期</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密封及其标记的具体形式：</w:t>
            </w:r>
          </w:p>
          <w:p>
            <w:pPr>
              <w:widowControl/>
              <w:spacing w:line="360" w:lineRule="auto"/>
              <w:jc w:val="center"/>
              <w:rPr>
                <w:rFonts w:ascii="宋体" w:hAnsi="宋体" w:cs="宋体"/>
                <w:color w:val="auto"/>
                <w:kern w:val="0"/>
                <w:sz w:val="24"/>
                <w:highlight w:val="none"/>
              </w:rPr>
            </w:pP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（1）全部纸质投标文件（包括正本、副本及可读介质）均应密封，否则投标将被拒绝。</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（2）密封的外包装应至少标记“项目名称、招标编号、所投合同包、投标人的全称”等内容，否则造成投标文件误投、遗漏或提前拆封的，建融建设管理集团有限责任公司 不承担责任。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7</w:t>
            </w:r>
          </w:p>
        </w:tc>
        <w:tc>
          <w:tcPr>
            <w:tcW w:w="1782" w:type="dxa"/>
            <w:vAlign w:val="center"/>
          </w:tcPr>
          <w:p>
            <w:pPr>
              <w:widowControl/>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推荐候选人</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trPr>
        <w:tc>
          <w:tcPr>
            <w:tcW w:w="468"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8</w:t>
            </w:r>
          </w:p>
        </w:tc>
        <w:tc>
          <w:tcPr>
            <w:tcW w:w="1782" w:type="dxa"/>
            <w:vAlign w:val="center"/>
          </w:tcPr>
          <w:p>
            <w:pPr>
              <w:widowControl/>
              <w:spacing w:line="360" w:lineRule="auto"/>
              <w:jc w:val="left"/>
              <w:rPr>
                <w:rFonts w:ascii="宋体" w:hAnsi="宋体" w:cs="宋体"/>
                <w:color w:val="auto"/>
                <w:kern w:val="0"/>
                <w:sz w:val="24"/>
                <w:highlight w:val="none"/>
              </w:rPr>
            </w:pPr>
            <w:r>
              <w:rPr>
                <w:rStyle w:val="25"/>
                <w:rFonts w:hint="eastAsia" w:ascii="宋体" w:hAnsi="宋体" w:cs="宋体"/>
                <w:color w:val="auto"/>
                <w:highlight w:val="none"/>
              </w:rPr>
              <w:t>本项目中标人的确定（以合同包为单位）</w:t>
            </w:r>
          </w:p>
        </w:tc>
        <w:tc>
          <w:tcPr>
            <w:tcW w:w="7636" w:type="dxa"/>
            <w:vAlign w:val="center"/>
          </w:tcPr>
          <w:p>
            <w:pPr>
              <w:pStyle w:val="18"/>
              <w:widowControl/>
              <w:spacing w:line="360" w:lineRule="auto"/>
              <w:rPr>
                <w:rFonts w:ascii="宋体" w:hAnsi="宋体" w:cs="宋体"/>
                <w:color w:val="auto"/>
                <w:highlight w:val="none"/>
              </w:rPr>
            </w:pPr>
            <w:r>
              <w:rPr>
                <w:rFonts w:hint="eastAsia" w:ascii="宋体" w:hAnsi="宋体" w:cs="宋体"/>
                <w:color w:val="auto"/>
                <w:highlight w:val="none"/>
              </w:rPr>
              <w:t>（1）采购人应在政府采购招投标管理办法规定的时限内确定中标人。</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（2）若出现中标候选人并列情形，则按照下列方式确定中标人：</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①招标文件规定的方式：无。</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②若本款第①点规定方式为“无”，则按照下列方式确定：无。</w:t>
            </w:r>
          </w:p>
          <w:p>
            <w:pPr>
              <w:pStyle w:val="18"/>
              <w:widowControl/>
              <w:spacing w:line="360" w:lineRule="auto"/>
              <w:rPr>
                <w:rFonts w:ascii="宋体" w:hAnsi="宋体" w:cs="宋体"/>
                <w:b/>
                <w:bCs/>
                <w:color w:val="auto"/>
                <w:highlight w:val="none"/>
              </w:rPr>
            </w:pPr>
            <w:r>
              <w:rPr>
                <w:rFonts w:hint="eastAsia" w:ascii="宋体" w:hAnsi="宋体" w:cs="宋体"/>
                <w:color w:val="auto"/>
                <w:highlight w:val="none"/>
              </w:rPr>
              <w:t>③若本款第①、②点规定方式均为“无”，则按照下列方式确定：</w:t>
            </w:r>
            <w:r>
              <w:rPr>
                <w:rFonts w:hint="eastAsia" w:ascii="宋体" w:hAnsi="宋体" w:cs="宋体"/>
                <w:b/>
                <w:bCs/>
                <w:color w:val="auto"/>
                <w:highlight w:val="none"/>
              </w:rPr>
              <w:t>随机抽取。</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（3）本项目确定的中标人家数：</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①本项目确定合同包1中标人数为1家；</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②若出现中标候选人符合法定家数但不足本款第①点规定中标人家数情形，则按照中标候选人的实际家数确定中标人。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9</w:t>
            </w:r>
          </w:p>
        </w:tc>
        <w:tc>
          <w:tcPr>
            <w:tcW w:w="1782" w:type="dxa"/>
            <w:vAlign w:val="center"/>
          </w:tcPr>
          <w:p>
            <w:pPr>
              <w:widowControl/>
              <w:spacing w:line="360" w:lineRule="auto"/>
              <w:rPr>
                <w:rStyle w:val="25"/>
                <w:rFonts w:ascii="宋体" w:hAnsi="宋体" w:cs="宋体"/>
                <w:color w:val="auto"/>
                <w:highlight w:val="none"/>
              </w:rPr>
            </w:pPr>
            <w:r>
              <w:rPr>
                <w:rStyle w:val="25"/>
                <w:rFonts w:hint="eastAsia" w:ascii="宋体" w:hAnsi="宋体" w:cs="宋体"/>
                <w:color w:val="auto"/>
                <w:sz w:val="24"/>
                <w:highlight w:val="none"/>
              </w:rPr>
              <w:t>质疑函原件应采用下列方式提交</w:t>
            </w:r>
          </w:p>
        </w:tc>
        <w:tc>
          <w:tcPr>
            <w:tcW w:w="76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10</w:t>
            </w:r>
          </w:p>
        </w:tc>
        <w:tc>
          <w:tcPr>
            <w:tcW w:w="1782"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b/>
                <w:bCs/>
                <w:color w:val="auto"/>
                <w:kern w:val="0"/>
                <w:sz w:val="24"/>
                <w:highlight w:val="none"/>
              </w:rPr>
              <w:t>招标文件的质疑</w:t>
            </w:r>
          </w:p>
          <w:p>
            <w:pPr>
              <w:widowControl/>
              <w:spacing w:line="360" w:lineRule="auto"/>
              <w:jc w:val="left"/>
              <w:rPr>
                <w:rFonts w:ascii="宋体" w:hAnsi="宋体" w:cs="宋体"/>
                <w:color w:val="auto"/>
                <w:kern w:val="0"/>
                <w:sz w:val="24"/>
                <w:highlight w:val="none"/>
              </w:rPr>
            </w:pPr>
          </w:p>
        </w:tc>
        <w:tc>
          <w:tcPr>
            <w:tcW w:w="7636" w:type="dxa"/>
            <w:vAlign w:val="center"/>
          </w:tcPr>
          <w:p>
            <w:pPr>
              <w:pStyle w:val="18"/>
              <w:widowControl/>
              <w:spacing w:line="360" w:lineRule="auto"/>
              <w:rPr>
                <w:rFonts w:ascii="宋体" w:hAnsi="宋体" w:cs="宋体"/>
                <w:color w:val="auto"/>
                <w:highlight w:val="none"/>
              </w:rPr>
            </w:pPr>
            <w:r>
              <w:rPr>
                <w:rFonts w:hint="eastAsia" w:ascii="宋体" w:hAnsi="宋体" w:cs="宋体"/>
                <w:color w:val="auto"/>
                <w:highlight w:val="none"/>
              </w:rPr>
              <w:t>（1）潜在投标人可在质疑时效期间内对招标文件以书面形式提出质疑。</w:t>
            </w:r>
          </w:p>
          <w:p>
            <w:pPr>
              <w:pStyle w:val="18"/>
              <w:widowControl/>
              <w:spacing w:line="360" w:lineRule="auto"/>
              <w:rPr>
                <w:rFonts w:ascii="宋体" w:hAnsi="宋体" w:cs="宋体"/>
                <w:color w:val="auto"/>
                <w:highlight w:val="none"/>
              </w:rPr>
            </w:pPr>
            <w:r>
              <w:rPr>
                <w:rFonts w:hint="eastAsia" w:ascii="宋体" w:hAnsi="宋体" w:cs="宋体"/>
                <w:color w:val="auto"/>
                <w:highlight w:val="none"/>
              </w:rPr>
              <w:t>（2）质疑时效期间：</w:t>
            </w:r>
          </w:p>
          <w:p>
            <w:pPr>
              <w:pStyle w:val="18"/>
              <w:widowControl/>
              <w:spacing w:line="360" w:lineRule="auto"/>
              <w:rPr>
                <w:rFonts w:ascii="宋体" w:hAnsi="宋体" w:cs="宋体"/>
                <w:color w:val="auto"/>
                <w:kern w:val="0"/>
                <w:highlight w:val="none"/>
              </w:rPr>
            </w:pPr>
            <w:r>
              <w:rPr>
                <w:rFonts w:hint="eastAsia" w:ascii="宋体" w:hAnsi="宋体" w:cs="宋体"/>
                <w:color w:val="auto"/>
                <w:highlight w:val="none"/>
              </w:rPr>
              <w:t>①在招标文件公告期限截止后至招标文件提供期限届满前的期间内：自招标文件公告期限届满之日起7个工作日内向建融建设管理集团有限责任公司 提出。以书面形式向采购人、采购代理机构提出质疑。供应商在法定质疑期内一次性提出针对同一采购程序环节的质疑。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3"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11</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监督管理部门</w:t>
            </w:r>
          </w:p>
        </w:tc>
        <w:tc>
          <w:tcPr>
            <w:tcW w:w="7636" w:type="dxa"/>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湄洲湾职业技术学院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68"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12</w:t>
            </w:r>
          </w:p>
        </w:tc>
        <w:tc>
          <w:tcPr>
            <w:tcW w:w="1782" w:type="dxa"/>
            <w:vAlign w:val="center"/>
          </w:tcPr>
          <w:p>
            <w:pPr>
              <w:widowControl/>
              <w:spacing w:line="360" w:lineRule="auto"/>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指定媒体</w:t>
            </w:r>
          </w:p>
        </w:tc>
        <w:tc>
          <w:tcPr>
            <w:tcW w:w="7636"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政府采购信息发布媒体（以下简称：“指定媒体”）：</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（1）中国政府采购网</w:t>
            </w:r>
          </w:p>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（2）中国采购与招标网</w:t>
            </w:r>
          </w:p>
          <w:p>
            <w:pPr>
              <w:widowControl/>
              <w:spacing w:line="360" w:lineRule="auto"/>
              <w:jc w:val="left"/>
              <w:rPr>
                <w:rFonts w:ascii="宋体" w:hAnsi="宋体" w:cs="宋体"/>
                <w:color w:val="auto"/>
                <w:highlight w:val="none"/>
              </w:rPr>
            </w:pPr>
            <w:r>
              <w:rPr>
                <w:rFonts w:hint="eastAsia" w:ascii="宋体" w:hAnsi="宋体" w:cs="宋体"/>
                <w:color w:val="auto"/>
                <w:sz w:val="24"/>
                <w:highlight w:val="none"/>
              </w:rPr>
              <w:t>（3）湄洲湾职业技术学院网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782" w:type="dxa"/>
            <w:vAlign w:val="center"/>
          </w:tcPr>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投标保证金</w:t>
            </w:r>
          </w:p>
        </w:tc>
        <w:tc>
          <w:tcPr>
            <w:tcW w:w="7636" w:type="dxa"/>
            <w:vAlign w:val="center"/>
          </w:tcPr>
          <w:p>
            <w:pPr>
              <w:pStyle w:val="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本批招标投标保证金为人民币</w:t>
            </w: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4980 \* CHINESENUM4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贰仟陆佰元整</w:t>
            </w:r>
            <w:r>
              <w:rPr>
                <w:rFonts w:hint="eastAsia" w:ascii="宋体" w:hAnsi="宋体" w:cs="宋体"/>
                <w:color w:val="auto"/>
                <w:sz w:val="24"/>
                <w:highlight w:val="none"/>
              </w:rPr>
              <w:fldChar w:fldCharType="end"/>
            </w:r>
            <w:r>
              <w:rPr>
                <w:rFonts w:hint="eastAsia" w:ascii="宋体" w:hAnsi="宋体" w:cs="宋体"/>
                <w:color w:val="auto"/>
                <w:sz w:val="24"/>
                <w:highlight w:val="none"/>
              </w:rPr>
              <w:t>(¥2600元)，保证金必须以</w:t>
            </w:r>
            <w:r>
              <w:rPr>
                <w:rFonts w:hint="eastAsia" w:ascii="宋体" w:hAnsi="宋体" w:cs="宋体"/>
                <w:b/>
                <w:color w:val="auto"/>
                <w:sz w:val="24"/>
                <w:highlight w:val="none"/>
              </w:rPr>
              <w:t>投标人银行帐户公对公</w:t>
            </w:r>
            <w:r>
              <w:rPr>
                <w:rFonts w:hint="eastAsia" w:ascii="宋体" w:hAnsi="宋体" w:cs="宋体"/>
                <w:color w:val="auto"/>
                <w:sz w:val="24"/>
                <w:highlight w:val="none"/>
              </w:rPr>
              <w:t>转账至：</w:t>
            </w:r>
          </w:p>
          <w:p>
            <w:pPr>
              <w:pStyle w:val="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pStyle w:val="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pStyle w:val="7"/>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帐  号：13400201040007163</w:t>
            </w:r>
          </w:p>
          <w:p>
            <w:pPr>
              <w:pStyle w:val="7"/>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以款到账户为准，不接受汇票。投标人在缴纳保证金时必须以公司的账户缴纳，不得以投标代表个人的名称缴纳。</w:t>
            </w:r>
            <w:r>
              <w:rPr>
                <w:rFonts w:hint="eastAsia" w:ascii="宋体" w:hAnsi="宋体" w:cs="宋体"/>
                <w:b/>
                <w:color w:val="auto"/>
                <w:sz w:val="24"/>
                <w:highlight w:val="none"/>
              </w:rPr>
              <w:t>保证金未按规定时间到账或提交投标保证金的汇款人名称与投标人名称不一致的，其投标将被拒绝。</w:t>
            </w:r>
          </w:p>
          <w:p>
            <w:pPr>
              <w:widowControl/>
              <w:spacing w:line="360" w:lineRule="auto"/>
              <w:jc w:val="left"/>
              <w:rPr>
                <w:rFonts w:ascii="宋体" w:hAnsi="宋体" w:cs="宋体"/>
                <w:b/>
                <w:color w:val="auto"/>
                <w:kern w:val="0"/>
                <w:sz w:val="24"/>
                <w:highlight w:val="none"/>
              </w:rPr>
            </w:pPr>
            <w:r>
              <w:rPr>
                <w:rFonts w:hint="eastAsia" w:ascii="宋体" w:hAnsi="宋体" w:cs="宋体"/>
                <w:b/>
                <w:color w:val="auto"/>
                <w:sz w:val="24"/>
                <w:highlight w:val="none"/>
              </w:rPr>
              <w:t>注：投标保证金转账时请注明所投项目的项目编号。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782" w:type="dxa"/>
            <w:vAlign w:val="center"/>
          </w:tcPr>
          <w:p>
            <w:pPr>
              <w:spacing w:line="360" w:lineRule="auto"/>
              <w:jc w:val="center"/>
              <w:rPr>
                <w:rFonts w:ascii="宋体" w:hAnsi="宋体" w:cs="宋体"/>
                <w:color w:val="auto"/>
                <w:sz w:val="24"/>
                <w:highlight w:val="none"/>
              </w:rPr>
            </w:pPr>
            <w:r>
              <w:rPr>
                <w:rFonts w:hint="eastAsia" w:ascii="宋体" w:hAnsi="宋体" w:cs="宋体"/>
                <w:b/>
                <w:color w:val="auto"/>
                <w:sz w:val="24"/>
                <w:highlight w:val="none"/>
              </w:rPr>
              <w:t>招标服务费</w:t>
            </w:r>
          </w:p>
        </w:tc>
        <w:tc>
          <w:tcPr>
            <w:tcW w:w="7636" w:type="dxa"/>
            <w:vAlign w:val="center"/>
          </w:tcPr>
          <w:p>
            <w:pPr>
              <w:spacing w:line="360" w:lineRule="auto"/>
              <w:rPr>
                <w:rFonts w:ascii="宋体" w:hAnsi="宋体" w:cs="宋体"/>
                <w:color w:val="auto"/>
                <w:sz w:val="24"/>
                <w:highlight w:val="none"/>
              </w:rPr>
            </w:pPr>
            <w:r>
              <w:rPr>
                <w:rFonts w:hint="eastAsia" w:ascii="宋体" w:hAnsi="宋体" w:cs="宋体"/>
                <w:bCs/>
                <w:color w:val="auto"/>
                <w:kern w:val="0"/>
                <w:sz w:val="24"/>
                <w:highlight w:val="none"/>
              </w:rPr>
              <w:t>①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②招标服务费缴纳账户：</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开户名：</w:t>
            </w:r>
            <w:r>
              <w:rPr>
                <w:rFonts w:hint="eastAsia" w:ascii="宋体" w:hAnsi="宋体" w:cs="宋体"/>
                <w:bCs/>
                <w:color w:val="auto"/>
                <w:kern w:val="0"/>
                <w:sz w:val="24"/>
                <w:highlight w:val="none"/>
              </w:rPr>
              <w:t>建融建设管理集团有限责任公司</w:t>
            </w:r>
            <w:r>
              <w:rPr>
                <w:rFonts w:hint="eastAsia" w:ascii="宋体" w:hAnsi="宋体" w:cs="宋体"/>
                <w:color w:val="auto"/>
                <w:sz w:val="24"/>
                <w:highlight w:val="none"/>
              </w:rPr>
              <w:t>莆田咨询分公司</w:t>
            </w:r>
          </w:p>
          <w:p>
            <w:pPr>
              <w:spacing w:line="360" w:lineRule="auto"/>
              <w:rPr>
                <w:rFonts w:ascii="宋体" w:hAnsi="宋体" w:cs="宋体"/>
                <w:color w:val="auto"/>
                <w:sz w:val="24"/>
                <w:highlight w:val="none"/>
              </w:rPr>
            </w:pPr>
            <w:r>
              <w:rPr>
                <w:rFonts w:hint="eastAsia" w:ascii="宋体" w:hAnsi="宋体" w:cs="宋体"/>
                <w:color w:val="auto"/>
                <w:sz w:val="24"/>
                <w:highlight w:val="none"/>
              </w:rPr>
              <w:t>开户行：中国农业银行莆田市分行</w:t>
            </w:r>
          </w:p>
          <w:p>
            <w:pPr>
              <w:spacing w:line="360" w:lineRule="auto"/>
              <w:rPr>
                <w:rFonts w:ascii="宋体" w:hAnsi="宋体" w:cs="宋体"/>
                <w:color w:val="auto"/>
                <w:sz w:val="24"/>
                <w:highlight w:val="none"/>
              </w:rPr>
            </w:pPr>
            <w:r>
              <w:rPr>
                <w:rFonts w:hint="eastAsia" w:ascii="宋体" w:hAnsi="宋体" w:cs="宋体"/>
                <w:color w:val="auto"/>
                <w:sz w:val="24"/>
                <w:highlight w:val="none"/>
              </w:rPr>
              <w:t>帐  号：13400201040007163</w:t>
            </w:r>
          </w:p>
        </w:tc>
      </w:tr>
    </w:tbl>
    <w:p>
      <w:pPr>
        <w:rPr>
          <w:rFonts w:ascii="宋体" w:hAnsi="宋体" w:cs="宋体"/>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pStyle w:val="7"/>
        <w:rPr>
          <w:color w:val="auto"/>
          <w:highlight w:val="none"/>
        </w:rPr>
      </w:pPr>
    </w:p>
    <w:p>
      <w:pPr>
        <w:rPr>
          <w:color w:val="auto"/>
          <w:highlight w:val="none"/>
        </w:rPr>
      </w:pPr>
    </w:p>
    <w:p>
      <w:pPr>
        <w:widowControl/>
        <w:spacing w:before="75" w:after="75"/>
        <w:rPr>
          <w:rFonts w:ascii="宋体" w:hAnsi="宋体" w:cs="宋体"/>
          <w:b/>
          <w:bCs/>
          <w:color w:val="auto"/>
          <w:kern w:val="0"/>
          <w:sz w:val="32"/>
          <w:highlight w:val="none"/>
        </w:rPr>
      </w:pPr>
    </w:p>
    <w:p>
      <w:pPr>
        <w:rPr>
          <w:rFonts w:ascii="宋体" w:hAnsi="宋体" w:cs="宋体"/>
          <w:b/>
          <w:bCs/>
          <w:color w:val="auto"/>
          <w:kern w:val="0"/>
          <w:sz w:val="32"/>
          <w:highlight w:val="none"/>
        </w:rPr>
      </w:pPr>
      <w:r>
        <w:rPr>
          <w:rFonts w:hint="eastAsia" w:ascii="宋体" w:hAnsi="宋体" w:cs="宋体"/>
          <w:b/>
          <w:bCs/>
          <w:color w:val="auto"/>
          <w:kern w:val="0"/>
          <w:sz w:val="32"/>
          <w:highlight w:val="none"/>
        </w:rPr>
        <w:br w:type="page"/>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32"/>
          <w:highlight w:val="none"/>
        </w:rPr>
        <w:t>第三章   投标人须知</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一、总则</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1、适用范围</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1.1适用于招标文件载明项目的政府采购活动（以下简称：“本次采购活动”）。</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2、定义</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2.1“采购标的”指招标文件载明的需要采购的货物或服务。</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2.2“潜在投标人”指按照招标文件第一章第6条规定获取招标文件且有意向参加本项目投标的供应商。</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2.3“投标人”指按照招标文件第一章第6条规定获取招标文件并参加本项目投标的供应商。</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2.4“单位负责人”指单位法定代表人或法律、法规规定代表单位行使职权的主要负责人。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2.5“投标人代表”指投标人的单位负责人或“单位负责人授权书”中载明的接受授权方。</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3、合格投标人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3.1一般规定</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（2）投标人的资格要求：详见招标文件第一章。</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3.2若本项目接受联合体投标且投标人为联合体，则联合体各方应遵守本章第3.1条规定，同时还应遵守下列规定：</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（1）联合体各方应提交联合体协议，联合体协议应符合招标文件规定。</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（2）联合体各方不得再单独参加或与其他供应商另外组成联合体参加同一合同项下的投标。</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（3）联合体各方应共同与采购人签订政府采购合同，就政府采购合同约定的事项对采购人承担连带责任。</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4、投标费用</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4.1除招标文件另有规定外，投标人应自行承担其参加本项目投标所涉及的一切费用。</w:t>
      </w: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三、招标</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5、招标文件</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5.1招标文件由下述部分组成：</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（1）投标邀请</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（2）投标人须知前附表</w:t>
      </w:r>
      <w:r>
        <w:rPr>
          <w:rFonts w:hint="eastAsia" w:ascii="宋体" w:hAnsi="宋体" w:cs="宋体"/>
          <w:color w:val="auto"/>
          <w:kern w:val="0"/>
          <w:highlight w:val="none"/>
        </w:rPr>
        <w:t>（表1、2）</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（3）投标人须知</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（4）资格审查与评标</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（5）招标内容及要求</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（6）采购合同（参考文本）</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（7）投标文件格式</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（8）按照招标文件规定作为招标文件组成部分的其他内容（若有）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5.2招标文件的澄清或修改</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（1）建融建设管理集团有限责任公司 可对已发出的招标文件进行必要的澄清或修改，但不得对招标文件载明的采购标的和投标人的资格要求进行改变。</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（2）除本章第5.2条第（3）款规定情形外，澄清或修改的内容可能影响投标文件编制的，建融建设管理集团有限责任公司 将在投标截止时间至少15个日历日前，在招标文件载明的指定媒体以更正公告的形式发布澄清或修改的内容。不足15个日历日的，建融建设管理集团有限责任公司 将顺延投标截止时间及开标时间，建融建设管理集团有限责任公司 和投标人受原投标截止时间及开标时间制约的所有权利和义务均延长至新的投标截止时间及开标时间。</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（3）澄清或修改的内容可能改变招标文件载明的采购标的和投标人的资格要求的，本次采购活动结束，建融建设管理集团有限责任公司 将依法组织后续采购活动（包括但不限于：重新招标、采用其他方式采购等）。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6、现场考察或开标前答疑会</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6.1是否组织现场考察或召开开标前答疑会：详见招标文件第二章。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7、更正公告</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7.1若建融建设管理集团有限责任公司 发布更正公告，则更正公告及其所发布的内容或信息（包括但不限于：招标文件的澄清或修改、现场考察或答疑会的有关事宜等）</w:t>
      </w:r>
      <w:r>
        <w:rPr>
          <w:rStyle w:val="25"/>
          <w:rFonts w:hint="eastAsia" w:ascii="宋体" w:hAnsi="宋体" w:cs="宋体"/>
          <w:color w:val="auto"/>
          <w:highlight w:val="none"/>
        </w:rPr>
        <w:t>作为招标文件组成部分</w:t>
      </w:r>
      <w:r>
        <w:rPr>
          <w:rFonts w:hint="eastAsia" w:ascii="宋体" w:hAnsi="宋体" w:cs="宋体"/>
          <w:color w:val="auto"/>
          <w:highlight w:val="none"/>
        </w:rPr>
        <w:t>，对投标人具有约束力。</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7.2更正公告作为建融建设管理集团有限责任公司 通知所有潜在投标人的书面形式。</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8、终止公告</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8.1若出现因重大变故导致采购任务取消情形，建融建设管理集团有限责任公司 可终止招标并发布终止公告。</w:t>
      </w:r>
    </w:p>
    <w:p>
      <w:pPr>
        <w:pStyle w:val="18"/>
        <w:snapToGrid w:val="0"/>
        <w:spacing w:line="460" w:lineRule="exact"/>
        <w:rPr>
          <w:rFonts w:ascii="宋体" w:hAnsi="宋体" w:cs="宋体"/>
          <w:b/>
          <w:color w:val="auto"/>
          <w:kern w:val="0"/>
          <w:sz w:val="28"/>
          <w:szCs w:val="28"/>
          <w:highlight w:val="none"/>
        </w:rPr>
      </w:pPr>
      <w:r>
        <w:rPr>
          <w:rFonts w:hint="eastAsia" w:ascii="宋体" w:hAnsi="宋体" w:cs="宋体"/>
          <w:color w:val="auto"/>
          <w:highlight w:val="none"/>
        </w:rPr>
        <w:t>8.2终止公告作为建融建设管理集团有限责任公司 通知所有潜在投标人的书面形式。</w:t>
      </w: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四、投标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9.1投标人可对招标文件载明的全部或部分采购包进行投标。</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9.2投标人应对同一个采购包内的所有内容进行完整投标，否则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9.3投标人代表只能接受一个投标人的授权参加投标，否则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9.4单位负责人为同一人或存在直接控股、管理关系的不同供应商，不得同时参加同一合同项下的投标，否则</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9.5为本项目提供整体设计、规范编制或项目管理、监理、检测等服务的供应商，不得参加本项目除整体设计、规范编制和项目管理、监理、检测等服务外的采购活动，否则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9.6列入失信被执行人、重大税收违法案件当事人名单、政府采购严重违法失信行为记录名单及其他不符合政府采购法第二十二条规定条件的供应商，不得参加投标，否则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9.7有下列情形之一的，视为投标人串通投标，</w:t>
      </w:r>
      <w:r>
        <w:rPr>
          <w:rStyle w:val="25"/>
          <w:rFonts w:hint="eastAsia" w:ascii="宋体" w:hAnsi="宋体" w:cs="宋体"/>
          <w:color w:val="auto"/>
          <w:highlight w:val="none"/>
        </w:rPr>
        <w:t>其投标无效：</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（1）不同投标人的投标文件由同一单位或个人编制；</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（2）不同投标人委托同一单位或个人办理投标事宜；</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（3）不同投标人的投标文件载明的项目管理成员或联系人员为同一人；</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（4）不同投标人的投标文件异常一致或投标报价呈规律性差异；</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（5）不同投标人的投标文件相互混装；</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（6）不同投标人的投标保证金从同一单位或个人的账户转出；</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（7）不同投标人的投标文件制作工具MAC地址一致。</w:t>
      </w:r>
    </w:p>
    <w:p>
      <w:pPr>
        <w:widowControl/>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（8）有关法律、法规和规章及招标文件规定的其他串通投标情形。</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10、投标文件</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10.1投标文件的编制</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（1）投标人应先仔细阅读招标文件的全部内容后，再进行投标文件的编制。</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（2）投标文件应按照本章第10.2条规定编制其组成部分。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（3）投标文件应满足招标文件提出的实质性要求和条件，并保证其所提交的全部资料是不可割离且真实、有效、准确、完整和不具有任何误导性的，否则造成不利后果由投标人承担责任。</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10.2投标文件由下述部分组成：</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（1）资格及资信证明部分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①投标函</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②投标人的资格及资信证明文件</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③投标保证金</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（2）报价部分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①开标一览表</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②投标分项报价表</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③招标文件规定的价格扣除证明材料（若有）</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④招标文件规定的加分证明材料（若有）</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（3）技术商务部分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①标的说明一览表</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②技术和服务要求响应表</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③商务条件响应表</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④投标人提交的其他资料（若有）</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⑤招标文件规定作为投标文件组成部分的其他内容（若有）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10.3投标文件的语言</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（1）除招标文件另有规定外，投标文件应使用中文文本，若有不同文本，以中文文本为准。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10.4投标文件的份数：详见招标文件第二章。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10.5投标文件的格式</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（1）除招标文件另有规定外，投标文件应使用招标文件第七章规定的格式。</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（2）除招标文件另有规定外，投标文件的正本和全部副本均应使用不能擦去的墨料或墨水打印、书写或复印，其中：</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①正本应用A4幅面纸张打印装订，编制封面（封面标明“正本”字样）、索引、页码，并用胶装装订成册。</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②副本应用A4幅面纸张打印装订，编制封面（封面标明“副本”字样）、索引、页码，并用胶装装订成册；副本可用正本的完整复印件，并与正本保持一致（若不一致，以正本为准）。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③允许散装或活页装订的内容或材料：详见招标文件第二章。</w:t>
      </w:r>
    </w:p>
    <w:p>
      <w:pPr>
        <w:pStyle w:val="18"/>
        <w:snapToGrid w:val="0"/>
        <w:spacing w:line="460" w:lineRule="exact"/>
        <w:ind w:firstLine="480"/>
        <w:rPr>
          <w:rFonts w:ascii="宋体" w:hAnsi="宋体" w:cs="宋体"/>
          <w:color w:val="auto"/>
          <w:highlight w:val="none"/>
        </w:rPr>
      </w:pPr>
      <w:r>
        <w:rPr>
          <w:rStyle w:val="25"/>
          <w:rFonts w:hint="eastAsia" w:ascii="宋体" w:hAnsi="宋体" w:cs="宋体"/>
          <w:color w:val="auto"/>
          <w:highlight w:val="none"/>
        </w:rPr>
        <w:t>※除本章第10.5条第（2）款第③点规定情形外，投标文件散装或活页装订将导致投标无效。</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（3）除招标文件另有规定外，投标文件应使用人民币作为计量货币。</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（4）除招标文件另有规定外，签署、盖章应遵守下列规定：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①投标文件应由投标人代表签字并加盖投标人的单位公章。若投标人代表为单位授权的委托代理人，应提供“单位授权书”。</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②投标文件应没有涂改或行间插字，除非这些改动是根据建融建设管理集团有限责任公司 的指示进行的，或是为改正投标人造成的应修改的错误而进行的。若有前述改动，应按照下列规定之一对改动处进行处理：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a.投标人代表签字确认；</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b.加盖投标人的单位公章或校正章。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10.6投标报价</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（1）投标报价超出最高限价将导致</w:t>
      </w:r>
      <w:r>
        <w:rPr>
          <w:rFonts w:hint="eastAsia" w:ascii="宋体" w:hAnsi="宋体" w:cs="宋体"/>
          <w:b/>
          <w:bCs/>
          <w:color w:val="auto"/>
          <w:kern w:val="0"/>
          <w:sz w:val="24"/>
          <w:highlight w:val="none"/>
        </w:rPr>
        <w:t>投标无效。</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（2）最高限价由采购人根据价格测算情况，在预算金额的额度内合理设定。最高限价不得超出预算金额。</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（3）除招标文件另有规定外，投标文件不能出现任何选择性的投标报价，即每一个采购包和品目号的采购标的都只能有一个投标报价。任何选择性的投标报价将导致</w:t>
      </w:r>
      <w:r>
        <w:rPr>
          <w:rFonts w:hint="eastAsia" w:ascii="宋体" w:hAnsi="宋体" w:cs="宋体"/>
          <w:b/>
          <w:bCs/>
          <w:color w:val="auto"/>
          <w:kern w:val="0"/>
          <w:sz w:val="24"/>
          <w:highlight w:val="none"/>
        </w:rPr>
        <w:t>投标无效。</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10.7分包</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（1）是否允许中标人将本项目的非主体、非关键性工作进行分包：详见招标文件第二章。</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（3）招标文件允许中标人将非主体、非关键性工作进行分包的项目，有下列情形之一的，中标人不得分包：</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①投标文件中未载明分包承担主体；</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②投标文件载明的分包承担主体不具备相应资质条件；</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③投标文件载明的分包承担主体拟再次分包。</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④享受中小企业扶持政策获得政府采购合同的，小微企业不得将合同分包给大中型企业，中型企业不得将合同分包给大型企业。</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10.8投标有效期</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（1）招标文件载明的投标有效期：详见招标文件第二章。</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（2）投标文件承诺的投标有效期不得少于招标文件载明的投标有效期，否则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（3）根据本次采购活动的需要，建融建设管理集团有限责任公司 可于投标有效期届满之前书面要求投标人延长投标有效期，投标人应在建融建设管理集团有限责任公司 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10.9投标保证金</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（1）投标保证金作为投标人按照招标文件规定履行相应投标责任、义务的约束及担保。</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（2）投标保证金的有效期应与投标文件承诺的投标有效期保持一致，否则</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（3）提交</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①投标人应从其银行账户</w:t>
      </w:r>
      <w:r>
        <w:rPr>
          <w:rStyle w:val="25"/>
          <w:rFonts w:hint="eastAsia" w:ascii="宋体" w:hAnsi="宋体" w:cs="宋体"/>
          <w:color w:val="auto"/>
          <w:highlight w:val="none"/>
        </w:rPr>
        <w:t>（基本存款账户）</w:t>
      </w:r>
      <w:r>
        <w:rPr>
          <w:rFonts w:hint="eastAsia" w:ascii="宋体" w:hAnsi="宋体" w:cs="宋体"/>
          <w:color w:val="auto"/>
          <w:highlight w:val="none"/>
        </w:rPr>
        <w:t>按照下列方式：</w:t>
      </w:r>
      <w:r>
        <w:rPr>
          <w:rStyle w:val="25"/>
          <w:rFonts w:hint="eastAsia" w:ascii="宋体" w:hAnsi="宋体" w:cs="宋体"/>
          <w:color w:val="auto"/>
          <w:highlight w:val="none"/>
        </w:rPr>
        <w:t>公对公转账方式</w:t>
      </w:r>
      <w:r>
        <w:rPr>
          <w:rFonts w:hint="eastAsia" w:ascii="宋体" w:hAnsi="宋体" w:cs="宋体"/>
          <w:color w:val="auto"/>
          <w:highlight w:val="none"/>
        </w:rPr>
        <w:t>向招标文件载明的投标保证金账户提交投标保证金，具体金额详见招标文件</w:t>
      </w:r>
      <w:r>
        <w:rPr>
          <w:rFonts w:hint="eastAsia" w:ascii="宋体" w:hAnsi="宋体" w:cs="宋体"/>
          <w:color w:val="auto"/>
          <w:kern w:val="0"/>
          <w:highlight w:val="none"/>
        </w:rPr>
        <w:t>第一章</w:t>
      </w:r>
      <w:r>
        <w:rPr>
          <w:rFonts w:hint="eastAsia" w:ascii="宋体" w:hAnsi="宋体" w:cs="宋体"/>
          <w:color w:val="auto"/>
          <w:highlight w:val="none"/>
        </w:rPr>
        <w:t>。</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 xml:space="preserve">②投标保证金应于投标截止时间前到达招标文件载明的投标保证金账户，否则视为投标保证金未提交；是否到达按照下列方式认定：以招标文件指定保证金账户到账时间为准。 </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③若本项目接受联合体投标且投标人为联合体，则联合体中的牵头方应按照本章第10.9条第（3）款第①、②点规定提交投标保证金。</w:t>
      </w:r>
    </w:p>
    <w:p>
      <w:pPr>
        <w:pStyle w:val="18"/>
        <w:snapToGrid w:val="0"/>
        <w:spacing w:line="460" w:lineRule="exact"/>
        <w:rPr>
          <w:rFonts w:ascii="宋体" w:hAnsi="宋体" w:cs="宋体"/>
          <w:color w:val="auto"/>
          <w:highlight w:val="none"/>
        </w:rPr>
      </w:pPr>
      <w:r>
        <w:rPr>
          <w:rStyle w:val="25"/>
          <w:rFonts w:hint="eastAsia" w:ascii="宋体" w:hAnsi="宋体" w:cs="宋体"/>
          <w:color w:val="auto"/>
          <w:highlight w:val="none"/>
        </w:rPr>
        <w:t>※除招标文件另有规定外，未按照上述规定提交投标保证金将导致资格审查不合格。</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（4）退还</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①在投标截止时间前撤回已提交的投标文件的投标人，其投标保证金将在建融建设管理集团有限责任公司 收到投标人书面撤回通知之日起5个工作日内退回原账户。</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②未中标人的投标保证金将在中标通知书发出之日起5个工作日内退回原账户。</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③中标人的投标保证金将在政府采购合同签订之日起5个工作日内退回原账户；</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④终止招标的，建融建设管理集团有限责任公司 将在终止公告发布之日起5个工作日内退回已收取的投标保证金及其在银行产生的孳息。</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⑤除招标文件另有规定外，质疑或投诉涉及的投标人，若投标保证金尚未退还，则待质疑或投诉处理完毕后不计利息原额退还。</w:t>
      </w:r>
    </w:p>
    <w:p>
      <w:pPr>
        <w:pStyle w:val="18"/>
        <w:snapToGrid w:val="0"/>
        <w:spacing w:line="460" w:lineRule="exact"/>
        <w:ind w:firstLine="480"/>
        <w:rPr>
          <w:rFonts w:ascii="宋体" w:hAnsi="宋体" w:cs="宋体"/>
          <w:color w:val="auto"/>
          <w:highlight w:val="none"/>
        </w:rPr>
      </w:pPr>
      <w:r>
        <w:rPr>
          <w:rStyle w:val="25"/>
          <w:rFonts w:hint="eastAsia" w:ascii="宋体" w:hAnsi="宋体" w:cs="宋体"/>
          <w:color w:val="auto"/>
          <w:highlight w:val="none"/>
        </w:rPr>
        <w:t>※本章第10.9条第（4）款第①、②、③点规定的投标保证金退还时限不包括因投标人自身原因导致无法及时退还而增加的时间。</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（6）有下列情形之一的，投标保证金将不予退还：</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①投标人串通投标；</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②投标人提供虚假材料；</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③投标人采取不正当手段诋毁、排挤其他投标人；</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④投标截止时间后，投标人在投标有效期内撤销投标文件；</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⑤招标文件规定的其他不予退还情形；</w:t>
      </w:r>
    </w:p>
    <w:p>
      <w:pPr>
        <w:pStyle w:val="18"/>
        <w:snapToGrid w:val="0"/>
        <w:spacing w:line="460" w:lineRule="exact"/>
        <w:ind w:firstLine="480"/>
        <w:rPr>
          <w:rStyle w:val="25"/>
          <w:rFonts w:ascii="宋体" w:hAnsi="宋体" w:cs="宋体"/>
          <w:color w:val="auto"/>
          <w:highlight w:val="none"/>
        </w:rPr>
      </w:pPr>
      <w:r>
        <w:rPr>
          <w:rStyle w:val="25"/>
          <w:rFonts w:hint="eastAsia" w:ascii="宋体" w:hAnsi="宋体" w:cs="宋体"/>
          <w:color w:val="auto"/>
          <w:highlight w:val="none"/>
        </w:rPr>
        <w:t>⑥中标人有下列情形之一的：</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a.除不可抗力外，因中标人自身原因未在中标通知书要求的期限内与采购人签订政府采购合同；</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b.未按照招标文件、投标文件的约定签订政府采购合同或提交履约保证金。</w:t>
      </w:r>
    </w:p>
    <w:p>
      <w:pPr>
        <w:pStyle w:val="18"/>
        <w:snapToGrid w:val="0"/>
        <w:spacing w:line="460" w:lineRule="exact"/>
        <w:ind w:firstLine="480"/>
        <w:rPr>
          <w:rFonts w:ascii="宋体" w:hAnsi="宋体" w:cs="宋体"/>
          <w:color w:val="auto"/>
          <w:highlight w:val="none"/>
        </w:rPr>
      </w:pPr>
      <w:r>
        <w:rPr>
          <w:rStyle w:val="25"/>
          <w:rFonts w:hint="eastAsia" w:ascii="宋体" w:hAnsi="宋体" w:cs="宋体"/>
          <w:color w:val="auto"/>
          <w:highlight w:val="none"/>
        </w:rPr>
        <w:t>※若上述投标保证金不予退还情形给采购人（采购代理机构）造成损失，则投标人还要承担相应的赔偿责任。</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10.10投标文件的提交</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（1）一个投标人只能提交一个投标文件，并按照招标文件第一章规定将其送达。</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（2）密封及其标记的具体形式：详见招标文件第二章。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10.11投标文件的补充、修改或撤回</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（1）投标截止时间前，投标人可对所提交的投标文件进行补充、修改或撤回，并书面通知建融建设管理集团有限责任公司 。</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（2）补充、修改的内容应按照本章第10.5条第（4）款规定进行签署、盖章，并按照本章第10.10条规定提交，</w:t>
      </w:r>
      <w:r>
        <w:rPr>
          <w:rStyle w:val="25"/>
          <w:rFonts w:hint="eastAsia" w:ascii="宋体" w:hAnsi="宋体" w:cs="宋体"/>
          <w:color w:val="auto"/>
          <w:highlight w:val="none"/>
        </w:rPr>
        <w:t>否则将被拒收。</w:t>
      </w:r>
    </w:p>
    <w:p>
      <w:pPr>
        <w:pStyle w:val="18"/>
        <w:snapToGrid w:val="0"/>
        <w:spacing w:line="460" w:lineRule="exact"/>
        <w:ind w:firstLine="480"/>
        <w:rPr>
          <w:rFonts w:ascii="宋体" w:hAnsi="宋体" w:cs="宋体"/>
          <w:color w:val="auto"/>
          <w:highlight w:val="none"/>
        </w:rPr>
      </w:pPr>
      <w:r>
        <w:rPr>
          <w:rStyle w:val="25"/>
          <w:rFonts w:hint="eastAsia" w:ascii="宋体" w:hAnsi="宋体" w:cs="宋体"/>
          <w:color w:val="auto"/>
          <w:highlight w:val="none"/>
        </w:rPr>
        <w:t>※按照上述规定提交的补充、修改内容作为投标文件组成部分。</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10.12除招标文件另有规定外，有下列情形之一的，</w:t>
      </w:r>
      <w:r>
        <w:rPr>
          <w:rStyle w:val="25"/>
          <w:rFonts w:hint="eastAsia" w:ascii="宋体" w:hAnsi="宋体" w:cs="宋体"/>
          <w:color w:val="auto"/>
          <w:highlight w:val="none"/>
        </w:rPr>
        <w:t>投标无效</w:t>
      </w:r>
      <w:r>
        <w:rPr>
          <w:rFonts w:hint="eastAsia" w:ascii="宋体" w:hAnsi="宋体" w:cs="宋体"/>
          <w:color w:val="auto"/>
          <w:highlight w:val="none"/>
        </w:rPr>
        <w:t>：</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（1）投标文件未按照招标文件要求签署、盖章；</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（2）不符合招标文件中规定的资格要求；</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（3）投标报价超过招标文件中规定的预算金额或最高限价；</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（4）投标文件含有采购人不能接受的附加条件；</w:t>
      </w:r>
    </w:p>
    <w:p>
      <w:pPr>
        <w:pStyle w:val="18"/>
        <w:snapToGrid w:val="0"/>
        <w:spacing w:line="460" w:lineRule="exact"/>
        <w:ind w:firstLine="480"/>
        <w:rPr>
          <w:rStyle w:val="25"/>
          <w:rFonts w:ascii="宋体" w:hAnsi="宋体" w:cs="宋体"/>
          <w:color w:val="auto"/>
          <w:highlight w:val="none"/>
        </w:rPr>
      </w:pPr>
      <w:r>
        <w:rPr>
          <w:rFonts w:hint="eastAsia" w:ascii="宋体" w:hAnsi="宋体" w:cs="宋体"/>
          <w:color w:val="auto"/>
          <w:highlight w:val="none"/>
        </w:rPr>
        <w:t>（5）有关法律、法规和规章及招标文件规定的其他无效情形。</w:t>
      </w: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五、开标</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11、开标</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11.1建融建设管理集团有限责任公司 将在招标文件载明的开标时间及地点主持召开开标会，并邀请投标人参加。</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11.2开标会的主持人、唱标人、记录人及其他工作人员（若有）均由</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派出，现场监督人员（若有）可由有关方面派出。</w:t>
      </w:r>
    </w:p>
    <w:p>
      <w:pPr>
        <w:widowControl/>
        <w:snapToGrid w:val="0"/>
        <w:spacing w:line="4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11.3参加现场开标会的投标人应签到。</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11.4开标会应遵守下列规定：</w:t>
      </w:r>
    </w:p>
    <w:p>
      <w:pPr>
        <w:pStyle w:val="18"/>
        <w:snapToGrid w:val="0"/>
        <w:spacing w:line="460" w:lineRule="exact"/>
        <w:ind w:firstLine="480" w:firstLineChars="200"/>
        <w:rPr>
          <w:rFonts w:ascii="宋体" w:hAnsi="宋体" w:cs="宋体"/>
          <w:color w:val="auto"/>
          <w:highlight w:val="none"/>
        </w:rPr>
      </w:pPr>
      <w:r>
        <w:rPr>
          <w:rFonts w:hint="eastAsia" w:ascii="宋体" w:hAnsi="宋体" w:cs="宋体"/>
          <w:color w:val="auto"/>
          <w:highlight w:val="none"/>
        </w:rPr>
        <w:t>（1）首先由主持人宣布开标会须知，然后由投标人代表对投标文件的密封情况进行检查，经确认无误后，由工作人员对密封的投标文件当众拆封。</w:t>
      </w:r>
    </w:p>
    <w:p>
      <w:pPr>
        <w:pStyle w:val="18"/>
        <w:snapToGrid w:val="0"/>
        <w:spacing w:line="460" w:lineRule="exact"/>
        <w:ind w:firstLine="480" w:firstLineChars="200"/>
        <w:rPr>
          <w:rFonts w:ascii="宋体" w:hAnsi="宋体" w:cs="宋体"/>
          <w:color w:val="auto"/>
          <w:highlight w:val="none"/>
        </w:rPr>
      </w:pPr>
      <w:r>
        <w:rPr>
          <w:rFonts w:hint="eastAsia" w:ascii="宋体" w:hAnsi="宋体" w:cs="宋体"/>
          <w:color w:val="auto"/>
          <w:highlight w:val="none"/>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（3）记录人对唱标人宣布的内容作开标记录。</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（5）投标人代表对开标过程和开标记录有疑义，以及认为采购人（采购代理机构）相关工作人员有需要回避情形的，应当场提出询问或回避申请。否则，视为投标人对开标过程和开标记录予以认可。</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（6）若投标人未参加开标会（包括但不限于投标人派出的人员不是投标人代表），视同其对开标过程和开标记录予以认可。</w:t>
      </w:r>
    </w:p>
    <w:p>
      <w:pPr>
        <w:pStyle w:val="18"/>
        <w:snapToGrid w:val="0"/>
        <w:spacing w:line="460" w:lineRule="exact"/>
        <w:ind w:firstLine="480"/>
        <w:rPr>
          <w:rFonts w:ascii="宋体" w:hAnsi="宋体" w:cs="宋体"/>
          <w:color w:val="auto"/>
          <w:highlight w:val="none"/>
        </w:rPr>
      </w:pPr>
      <w:r>
        <w:rPr>
          <w:rStyle w:val="25"/>
          <w:rFonts w:hint="eastAsia" w:ascii="宋体" w:hAnsi="宋体" w:cs="宋体"/>
          <w:color w:val="auto"/>
          <w:highlight w:val="none"/>
        </w:rPr>
        <w:t>※若出现本章第11.4条第（4）、（5）、（6）款规定情形之一</w:t>
      </w:r>
      <w:r>
        <w:rPr>
          <w:rFonts w:hint="eastAsia" w:ascii="宋体" w:hAnsi="宋体" w:cs="宋体"/>
          <w:color w:val="auto"/>
          <w:highlight w:val="none"/>
        </w:rPr>
        <w:t>，</w:t>
      </w:r>
      <w:r>
        <w:rPr>
          <w:rStyle w:val="25"/>
          <w:rFonts w:hint="eastAsia" w:ascii="宋体" w:hAnsi="宋体" w:cs="宋体"/>
          <w:color w:val="auto"/>
          <w:highlight w:val="none"/>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color w:val="auto"/>
          <w:highlight w:val="none"/>
        </w:rPr>
        <w:t xml:space="preserve">建融建设管理集团有限责任公司 </w:t>
      </w:r>
      <w:r>
        <w:rPr>
          <w:rStyle w:val="25"/>
          <w:rFonts w:hint="eastAsia" w:ascii="宋体" w:hAnsi="宋体" w:cs="宋体"/>
          <w:color w:val="auto"/>
          <w:highlight w:val="none"/>
        </w:rPr>
        <w:t>提出任何疑义或要求（包括质疑）。</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11.5投标截止时间后，参加投标的投标人不足三家的，不进行开标。同时，本次采购活动结束，建融建设管理集团有限责任公司 将依法组织后续采购活动（包括但不限于：重新招标、采用其他方式采购等）。</w:t>
      </w:r>
    </w:p>
    <w:p>
      <w:pPr>
        <w:pStyle w:val="18"/>
        <w:snapToGrid w:val="0"/>
        <w:spacing w:line="460" w:lineRule="exact"/>
        <w:rPr>
          <w:rFonts w:ascii="宋体" w:hAnsi="宋体" w:cs="宋体"/>
          <w:color w:val="auto"/>
          <w:highlight w:val="none"/>
        </w:rPr>
      </w:pPr>
      <w:r>
        <w:rPr>
          <w:rFonts w:hint="eastAsia" w:ascii="宋体" w:hAnsi="宋体" w:cs="宋体"/>
          <w:color w:val="auto"/>
          <w:kern w:val="0"/>
          <w:highlight w:val="none"/>
        </w:rPr>
        <w:t>11.6投标截止时间后撤销投标的处理</w:t>
      </w:r>
      <w:r>
        <w:rPr>
          <w:rFonts w:hint="eastAsia" w:ascii="宋体" w:hAnsi="宋体" w:cs="宋体"/>
          <w:color w:val="auto"/>
          <w:kern w:val="0"/>
          <w:highlight w:val="none"/>
        </w:rPr>
        <w:br w:type="textWrapping"/>
      </w:r>
      <w:r>
        <w:rPr>
          <w:rFonts w:hint="eastAsia" w:ascii="宋体" w:hAnsi="宋体" w:cs="宋体"/>
          <w:color w:val="auto"/>
          <w:kern w:val="0"/>
          <w:highlight w:val="none"/>
        </w:rPr>
        <w:t>  投标截止时间后，投标人在投标有效期内撤销投标的，其撤销投标的行为无效。   </w:t>
      </w: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六、中标与政府采购合同</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12、中标</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12.1本项目推荐的中标候选人家数：详见招标文件第二章。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12.2本项目中标人的确定：详见招标文件第二章。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12.3中标公告</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（1）中标人确定之日起2个工作日内，</w:t>
      </w:r>
      <w:r>
        <w:rPr>
          <w:rFonts w:hint="eastAsia" w:ascii="宋体" w:hAnsi="宋体" w:cs="宋体"/>
          <w:color w:val="auto"/>
          <w:kern w:val="0"/>
          <w:sz w:val="24"/>
          <w:highlight w:val="none"/>
          <w:u w:val="single"/>
        </w:rPr>
        <w:t xml:space="preserve">建融建设管理集团有限责任公司 </w:t>
      </w:r>
      <w:r>
        <w:rPr>
          <w:rFonts w:hint="eastAsia" w:ascii="宋体" w:hAnsi="宋体" w:cs="宋体"/>
          <w:color w:val="auto"/>
          <w:kern w:val="0"/>
          <w:sz w:val="24"/>
          <w:highlight w:val="none"/>
        </w:rPr>
        <w:t>将在招标文件载明的指定媒体以中标公告的形式发布中标结果。</w:t>
      </w:r>
    </w:p>
    <w:p>
      <w:pPr>
        <w:widowControl/>
        <w:snapToGrid w:val="0"/>
        <w:spacing w:line="460" w:lineRule="exac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（2）中标公告的公告期限为1个工作日。</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12.4中标通知书</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（1）中标公告发布的同时，建融建设管理集团有限责任公司 将向中标人发出中标通知书。</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（2）中标通知书发出后，采购人不得违法改变中标结果，中标人无正当理由不得放弃中标。</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13、政府采购合同</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13.1签订政府采购合同应遵守政府采购法及实施条例的规定，不得对招标文件确定的事项和中标人的投标文件作实质性修改。采购人不得向中标人提出任何不合理的要求作为政府采购合同的签订条件。</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13.2签订时限：</w:t>
      </w:r>
      <w:r>
        <w:rPr>
          <w:rFonts w:hint="eastAsia" w:ascii="宋体" w:hAnsi="宋体" w:cs="宋体"/>
          <w:b/>
          <w:bCs/>
          <w:color w:val="auto"/>
          <w:highlight w:val="none"/>
        </w:rPr>
        <w:t>自中标通知书发出之日起30个工作日内。</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13.3政府采购合同的履行、违约责任和解决争议的方法等适用</w:t>
      </w:r>
      <w:r>
        <w:rPr>
          <w:rFonts w:hint="eastAsia" w:ascii="宋体" w:hAnsi="宋体" w:cs="宋体"/>
          <w:color w:val="auto"/>
          <w:kern w:val="0"/>
          <w:highlight w:val="none"/>
        </w:rPr>
        <w:t>民法典</w:t>
      </w:r>
      <w:r>
        <w:rPr>
          <w:rFonts w:hint="eastAsia" w:ascii="宋体" w:hAnsi="宋体" w:cs="宋体"/>
          <w:color w:val="auto"/>
          <w:highlight w:val="none"/>
        </w:rPr>
        <w:t>。</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13.4采购人与中标人应根据政府采购合同的约定依法履行合同义务。</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13.5政府采购合同履行过程中，采购人若需追加与合同标的相同的货物或服务，则追加采购金额不得超过原合同采购金额的10%。</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13.6中标人在政府采购合同履行过程中应遵守有关法律、法规和规章的强制性规定（即使前述强制性规定有可能在招标文件中未予列明）。</w:t>
      </w:r>
    </w:p>
    <w:p>
      <w:pPr>
        <w:pStyle w:val="18"/>
        <w:snapToGrid w:val="0"/>
        <w:spacing w:line="460" w:lineRule="exact"/>
        <w:rPr>
          <w:rFonts w:ascii="宋体" w:hAnsi="宋体" w:cs="宋体"/>
          <w:color w:val="auto"/>
          <w:highlight w:val="none"/>
        </w:rPr>
      </w:pP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七、询问、质疑与投诉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14、询问</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14.1潜在投标人或投标人对本次采购活动的有关事项若有疑问，可向建融建设管理集团有限责任公司 提出询问，建融建设管理集团有限责任公司 将按照政府采购法及实施条例的有关规定进行答复。</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15、质疑</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15.1</w:t>
      </w:r>
      <w:r>
        <w:rPr>
          <w:rFonts w:hint="eastAsia" w:ascii="宋体" w:hAnsi="宋体" w:cs="宋体"/>
          <w:color w:val="auto"/>
          <w:kern w:val="0"/>
          <w:highlight w:val="none"/>
        </w:rPr>
        <w:t>针对同一采购程序环节的质疑应在政府采购法及实施条例的时限内一次性提出，对一个项目的不同采购包提出质疑的，应当将各采购包质疑事项集中在一份质疑函中提出，并同时符合下列条件：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（1）对招标文件提出质疑的，质疑人应为潜在投标人，且两者的身份、名称等均应保持一致。对采购过程、结果提出质疑的，质疑人应为投标人，且两者的身份、名称等均应保持一致。</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（2）质疑人应按照招标文件第二章规定方式提交质疑函。</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（3）质疑函应包括下列主要内容：</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①质疑人的基本信息，至少包括：全称、地址、邮政编码等；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②所质疑项目的基本信息，至少包括：项目编号、项目名称等；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③所质疑的具体事项（以下简称：“质疑事项”）；</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④针对质疑事项提出的明确请求，前述明确请求指质疑人提出质疑的目的以及希望建融建设管理集团有限责任公司 对其质疑作出的处理结果，如：暂停招标投标活动、修改招标文件、停止或纠正违法违规行为、中标结果无效、废标、重新招标等；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⑤针对质疑事项导致质疑人自身权益受到损害的必要证明材料，至少包括：</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a.质疑人代表的身份证明材料：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a2若本项目接受自然人投标且质疑人为自然人的，提供本人的身份证复印件。</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b.其他证明材料（即事实依据和必要的法律依据）包括但不限于下列材料：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b1所质疑的具体事项是与自已有利害关系的证明材料；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b2质疑函所述事实存在的证明材料，如：采购文件、采购过程或中标结果违法违规或不符合采购文件要求等证明材料；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b3依法应终止采购程序的证明材料；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b4应重新采购的证明材料；</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b5采购文件、采购过程或中标、成交结果损害自已合法权益的证明材料等；</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color w:val="auto"/>
          <w:kern w:val="0"/>
          <w:sz w:val="24"/>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宋体" w:hAnsi="宋体" w:cs="宋体"/>
          <w:b/>
          <w:bCs/>
          <w:color w:val="auto"/>
          <w:kern w:val="0"/>
          <w:sz w:val="24"/>
          <w:highlight w:val="none"/>
        </w:rPr>
        <w:t>视为无效</w:t>
      </w:r>
      <w:r>
        <w:rPr>
          <w:rFonts w:hint="eastAsia" w:ascii="宋体" w:hAnsi="宋体" w:cs="宋体"/>
          <w:color w:val="auto"/>
          <w:kern w:val="0"/>
          <w:sz w:val="24"/>
          <w:highlight w:val="none"/>
        </w:rPr>
        <w:t>）。</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⑥质疑人代表及其联系方法的信息，至少包括：姓名、手机、电子信箱、邮寄地址等。</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⑦提出质疑的日期。</w:t>
      </w:r>
    </w:p>
    <w:p>
      <w:pPr>
        <w:widowControl/>
        <w:snapToGrid w:val="0"/>
        <w:spacing w:line="460" w:lineRule="exact"/>
        <w:ind w:firstLine="369"/>
        <w:jc w:val="left"/>
        <w:rPr>
          <w:rFonts w:ascii="宋体" w:hAnsi="宋体" w:cs="宋体"/>
          <w:color w:val="auto"/>
          <w:kern w:val="0"/>
          <w:sz w:val="24"/>
          <w:highlight w:val="none"/>
        </w:rPr>
      </w:pPr>
      <w:r>
        <w:rPr>
          <w:rFonts w:hint="eastAsia" w:ascii="宋体" w:hAnsi="宋体" w:cs="宋体"/>
          <w:b/>
          <w:bCs/>
          <w:color w:val="auto"/>
          <w:kern w:val="0"/>
          <w:sz w:val="24"/>
          <w:highlight w:val="none"/>
        </w:rPr>
        <w:t>※质疑人为法人或其他组织的，质疑函应由单位负责人或委托代理人签字或盖章，并加盖投标人的单位公章。质疑人为自然人的，质疑函应由本人签字。</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15.2对不符合本章第15.1条规定的质疑，将按照下列规定进行处理：</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（1）不符合其中第（1）、（2）条规定的，书面告知质疑人不予受理及其理由。</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（2）不符合其中第（3）条规定的，书面告知质疑人修改、补充后在规定时限内重新提交质疑函。</w:t>
      </w:r>
    </w:p>
    <w:p>
      <w:pPr>
        <w:widowControl/>
        <w:snapToGrid w:val="0"/>
        <w:spacing w:line="460" w:lineRule="exact"/>
        <w:jc w:val="left"/>
        <w:rPr>
          <w:rFonts w:ascii="宋体" w:hAnsi="宋体" w:cs="宋体"/>
          <w:color w:val="auto"/>
          <w:highlight w:val="none"/>
        </w:rPr>
      </w:pPr>
      <w:r>
        <w:rPr>
          <w:rFonts w:hint="eastAsia" w:ascii="宋体" w:hAnsi="宋体" w:cs="宋体"/>
          <w:color w:val="auto"/>
          <w:kern w:val="0"/>
          <w:sz w:val="24"/>
          <w:highlight w:val="none"/>
        </w:rPr>
        <w:t>15.3对符合本章第15.1条规定的质疑，将按照政府采购法及实施条例、政府采购质疑和投诉办法的有关规定进行答复。</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15.4招标文件的质疑：详见招标文件第二章。</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16、投诉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16.2投诉应有明确的请求和必要的证明材料，投诉的事项不得超出已质疑事项的范围。</w:t>
      </w:r>
    </w:p>
    <w:p>
      <w:pPr>
        <w:pStyle w:val="18"/>
        <w:snapToGrid w:val="0"/>
        <w:spacing w:line="460" w:lineRule="exact"/>
        <w:rPr>
          <w:rFonts w:ascii="宋体" w:hAnsi="宋体" w:cs="宋体"/>
          <w:color w:val="auto"/>
          <w:highlight w:val="none"/>
        </w:rPr>
      </w:pP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八、政府采购政策</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17、政府采购政策由财政部根据国家的经济和社会发展政策并会同国家有关部委制定，包括但不限于下列具体政策要求：</w:t>
      </w:r>
    </w:p>
    <w:p>
      <w:pPr>
        <w:pStyle w:val="18"/>
        <w:snapToGrid w:val="0"/>
        <w:spacing w:line="460" w:lineRule="exact"/>
        <w:rPr>
          <w:rFonts w:ascii="宋体" w:hAnsi="宋体" w:cs="宋体"/>
          <w:color w:val="auto"/>
          <w:highlight w:val="none"/>
        </w:rPr>
      </w:pPr>
      <w:r>
        <w:rPr>
          <w:rFonts w:hint="eastAsia" w:ascii="宋体" w:hAnsi="宋体" w:cs="宋体"/>
          <w:color w:val="auto"/>
          <w:highlight w:val="none"/>
        </w:rPr>
        <w:t>17.1进口产品指通过中国海关报关验放进入中国境内且产自关境外的产品，其中：</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（2）凡在海关特殊监管区域内企业生产或加工（包括从境外进口料件）销往境内其他地区的产品，不作为政府采购项下进口产品。</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（3）对从境外进入海关特殊监管区域，再经办理报关手续后从海关特殊监管区进入境内其他地区的产品，认定为进口产品。</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（4）招标文件列明不允许或未列明允许进口产品参加投标的，均视为拒绝进口产品参加投标。</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（1）中小企业指符合下列条件的中型、小型、微型企业：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②符合中小企业划分标准的个体工商户，在政府采购活动中视同中小企业。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（2）在政府采购活动中，供应商提供的货物、工程或者服务符合下列情形的，享受本办法规定的中小企业扶持政策：</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①在货物采购项目中，货物由中小企业制造，即货物由中小企业生产且使用该中小企业商号或者注册商标；</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②在工程采购项目中，工程由中小企业承建，即工程施工单位为中小企业；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③在服务采购项目中，服务由中小企业承接，即提供服务的人员为中小企业依照《中华人民共和国劳动合同法》 订立劳动合同的从业人员。</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 xml:space="preserve">在货物采购项目中，供应商提供的货物既有中小企业制造货物，也有大型企业制造货物的，不享受本办法规定的中小企业扶持政策。 </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3）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①监狱企业参加采购活动时，应提供由省级以上监狱管理局、戒毒管理局（含新疆生产建设兵团）出具的属于监狱企业的证明文件。</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②监狱企业视同小型、微型企业。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（4）残疾人福利性单位指同时符合下列条件的单位：</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①安置的残疾人占本单位在职职工人数的比例不低于25%（含25%），并且安置的残疾人人数不少于10人（含10人）；</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②依法与安置的每位残疾人签订了一年以上（含一年）的劳动合同或服务协议；</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③为安置的每位残疾人按月足额缴纳了基本养老保险、基本医疗保险、失业保险、工伤保险和生育保险等社会保险费；</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④通过银行等金融机构向安置的每位残疾人，按月支付了不低于单位所在区县适用的经省级人民政府批准的月最低工资标准的工资；</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⑤提供本单位制造的货物、承担的工程或服务，或提供其他残疾人福利性单位制造的货物（不包括使用非残疾人福利性单位注册商标的货物）。</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17.5信用记录指由财政部确定的有关网站提供的相关主体信用信息。信用记录的查询及使用应符合财政部文件（财库[2016]125号）规定。</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17.6为落实政府采购政策需满足的要求：详见招标文件第一章。</w:t>
      </w:r>
    </w:p>
    <w:p>
      <w:pPr>
        <w:widowControl/>
        <w:snapToGrid w:val="0"/>
        <w:spacing w:line="460" w:lineRule="exact"/>
        <w:jc w:val="left"/>
        <w:rPr>
          <w:rFonts w:ascii="宋体" w:hAnsi="宋体" w:cs="宋体"/>
          <w:b/>
          <w:color w:val="auto"/>
          <w:sz w:val="24"/>
          <w:highlight w:val="none"/>
        </w:rPr>
      </w:pPr>
      <w:r>
        <w:rPr>
          <w:rFonts w:hint="eastAsia" w:ascii="宋体" w:hAnsi="宋体" w:cs="宋体"/>
          <w:color w:val="auto"/>
          <w:kern w:val="0"/>
          <w:sz w:val="24"/>
          <w:highlight w:val="none"/>
        </w:rPr>
        <w:t> </w:t>
      </w:r>
    </w:p>
    <w:p>
      <w:pPr>
        <w:pStyle w:val="18"/>
        <w:snapToGrid w:val="0"/>
        <w:spacing w:line="460" w:lineRule="exact"/>
        <w:jc w:val="center"/>
        <w:rPr>
          <w:rFonts w:ascii="宋体" w:hAnsi="宋体" w:cs="宋体"/>
          <w:color w:val="auto"/>
          <w:highlight w:val="none"/>
        </w:rPr>
      </w:pPr>
      <w:r>
        <w:rPr>
          <w:rStyle w:val="25"/>
          <w:rFonts w:hint="eastAsia" w:ascii="宋体" w:hAnsi="宋体" w:cs="宋体"/>
          <w:color w:val="auto"/>
          <w:highlight w:val="none"/>
        </w:rPr>
        <w:t>九、本项目的有关信息</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18、本项目的有关信息，包括但不限于：招标公告、更正公告（若有）、招标文件、招标文件的澄清或修改（若有）、中标公告、终止公告（若有）、废标公告（若有）等都将在招标文件载明的指定媒体发布。</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18.1指定媒体：详见招标文件第二章。</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18.2本项目的潜在投标人或投标人应随时关注指定媒体，否则产生不利后果由其自行承担。</w:t>
      </w:r>
    </w:p>
    <w:p>
      <w:pPr>
        <w:widowControl/>
        <w:snapToGrid w:val="0"/>
        <w:spacing w:line="46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十、其他事项</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19、其他事项：详见招标文件第二章。</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highlight w:val="none"/>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18"/>
        <w:snapToGrid w:val="0"/>
        <w:spacing w:line="460" w:lineRule="exact"/>
        <w:ind w:firstLine="480"/>
        <w:rPr>
          <w:rFonts w:ascii="宋体" w:hAnsi="宋体" w:cs="宋体"/>
          <w:color w:val="auto"/>
          <w:highlight w:val="none"/>
        </w:rPr>
      </w:pPr>
      <w:r>
        <w:rPr>
          <w:rFonts w:hint="eastAsia" w:ascii="宋体" w:hAnsi="宋体" w:cs="宋体"/>
          <w:color w:val="auto"/>
          <w:kern w:val="0"/>
          <w:highlight w:val="none"/>
        </w:rPr>
        <w:t> 19.2其他：详见招标文件第二章。</w:t>
      </w:r>
    </w:p>
    <w:p>
      <w:pPr>
        <w:pStyle w:val="18"/>
        <w:spacing w:before="75" w:after="75" w:line="360" w:lineRule="auto"/>
        <w:jc w:val="center"/>
        <w:rPr>
          <w:rFonts w:ascii="宋体" w:hAnsi="宋体" w:cs="宋体"/>
          <w:color w:val="auto"/>
          <w:highlight w:val="none"/>
        </w:rPr>
      </w:pPr>
      <w:r>
        <w:rPr>
          <w:rStyle w:val="25"/>
          <w:rFonts w:hint="eastAsia" w:ascii="宋体" w:hAnsi="宋体" w:cs="宋体"/>
          <w:color w:val="auto"/>
          <w:sz w:val="32"/>
          <w:szCs w:val="32"/>
          <w:highlight w:val="none"/>
        </w:rPr>
        <w:t>第四章   资格审查与评标</w:t>
      </w:r>
    </w:p>
    <w:p>
      <w:pPr>
        <w:pStyle w:val="18"/>
        <w:spacing w:before="75" w:after="75" w:line="360" w:lineRule="auto"/>
        <w:jc w:val="center"/>
        <w:rPr>
          <w:rFonts w:ascii="宋体" w:hAnsi="宋体" w:cs="宋体"/>
          <w:color w:val="auto"/>
          <w:highlight w:val="none"/>
        </w:rPr>
      </w:pPr>
      <w:r>
        <w:rPr>
          <w:rStyle w:val="25"/>
          <w:rFonts w:hint="eastAsia" w:ascii="宋体" w:hAnsi="宋体" w:cs="宋体"/>
          <w:color w:val="auto"/>
          <w:highlight w:val="none"/>
        </w:rPr>
        <w:t>一、资格审查</w:t>
      </w:r>
    </w:p>
    <w:p>
      <w:pPr>
        <w:pStyle w:val="18"/>
        <w:widowControl/>
        <w:spacing w:before="75" w:after="75"/>
        <w:rPr>
          <w:color w:val="auto"/>
          <w:highlight w:val="none"/>
        </w:rPr>
      </w:pPr>
      <w:r>
        <w:rPr>
          <w:rFonts w:hint="eastAsia" w:ascii="宋体" w:hAnsi="宋体" w:cs="宋体"/>
          <w:color w:val="auto"/>
          <w:highlight w:val="none"/>
        </w:rPr>
        <w:t>1、开标结束后，由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负责资格审查小组的组建及资格审查工作的组织。</w:t>
      </w:r>
    </w:p>
    <w:p>
      <w:pPr>
        <w:pStyle w:val="18"/>
        <w:widowControl/>
        <w:spacing w:before="75" w:after="75"/>
        <w:rPr>
          <w:rFonts w:ascii="宋体" w:hAnsi="宋体" w:cs="宋体"/>
          <w:color w:val="auto"/>
          <w:highlight w:val="none"/>
        </w:rPr>
      </w:pPr>
      <w:r>
        <w:rPr>
          <w:rFonts w:hint="eastAsia" w:ascii="宋体" w:hAnsi="宋体" w:cs="宋体"/>
          <w:color w:val="auto"/>
          <w:highlight w:val="none"/>
        </w:rPr>
        <w:t>1.1资格审查小组由</w:t>
      </w:r>
      <w:r>
        <w:rPr>
          <w:rFonts w:ascii="Calibri" w:hAnsi="Calibri" w:cs="Calibri"/>
          <w:color w:val="auto"/>
          <w:highlight w:val="none"/>
        </w:rPr>
        <w:t>3</w:t>
      </w:r>
      <w:r>
        <w:rPr>
          <w:rFonts w:hint="eastAsia" w:ascii="宋体" w:hAnsi="宋体" w:cs="宋体"/>
          <w:color w:val="auto"/>
          <w:highlight w:val="none"/>
        </w:rPr>
        <w:t>人组成，并负责具体审查事务，其中：由采购人派出的采购人代表至少</w:t>
      </w:r>
      <w:r>
        <w:rPr>
          <w:rFonts w:hint="eastAsia" w:ascii="宋体" w:hAnsi="宋体" w:cs="宋体"/>
          <w:color w:val="auto"/>
          <w:highlight w:val="none"/>
          <w:u w:val="single"/>
        </w:rPr>
        <w:t>1</w:t>
      </w:r>
      <w:r>
        <w:rPr>
          <w:rFonts w:hint="eastAsia" w:ascii="宋体" w:hAnsi="宋体" w:cs="宋体"/>
          <w:color w:val="auto"/>
          <w:highlight w:val="none"/>
        </w:rPr>
        <w:t>人，由</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派出的工作人员至少</w:t>
      </w:r>
      <w:r>
        <w:rPr>
          <w:rFonts w:hint="eastAsia" w:ascii="宋体" w:hAnsi="宋体" w:cs="宋体"/>
          <w:color w:val="auto"/>
          <w:highlight w:val="none"/>
          <w:u w:val="single"/>
        </w:rPr>
        <w:t>1</w:t>
      </w:r>
      <w:r>
        <w:rPr>
          <w:rFonts w:hint="eastAsia" w:ascii="宋体" w:hAnsi="宋体" w:cs="宋体"/>
          <w:color w:val="auto"/>
          <w:highlight w:val="none"/>
        </w:rPr>
        <w:t>人，其余</w:t>
      </w:r>
      <w:r>
        <w:rPr>
          <w:rFonts w:hint="eastAsia" w:ascii="宋体" w:hAnsi="宋体" w:cs="宋体"/>
          <w:color w:val="auto"/>
          <w:highlight w:val="none"/>
          <w:u w:val="single"/>
        </w:rPr>
        <w:t>1</w:t>
      </w:r>
      <w:r>
        <w:rPr>
          <w:rFonts w:hint="eastAsia" w:ascii="宋体" w:hAnsi="宋体" w:cs="宋体"/>
          <w:color w:val="auto"/>
          <w:highlight w:val="none"/>
        </w:rPr>
        <w:t>人可为采购人代表或</w:t>
      </w:r>
      <w:r>
        <w:rPr>
          <w:rFonts w:hint="eastAsia" w:ascii="宋体" w:hAnsi="宋体" w:cs="宋体"/>
          <w:color w:val="auto"/>
          <w:highlight w:val="none"/>
          <w:u w:val="single"/>
        </w:rPr>
        <w:t>建融建设管理集团有限责任公司</w:t>
      </w:r>
      <w:r>
        <w:rPr>
          <w:rFonts w:hint="eastAsia" w:ascii="宋体" w:hAnsi="宋体" w:cs="宋体"/>
          <w:color w:val="auto"/>
          <w:highlight w:val="none"/>
        </w:rPr>
        <w:t>的工作人员。</w:t>
      </w:r>
    </w:p>
    <w:p>
      <w:pPr>
        <w:pStyle w:val="18"/>
        <w:spacing w:line="360" w:lineRule="auto"/>
        <w:rPr>
          <w:rFonts w:ascii="宋体" w:hAnsi="宋体" w:cs="宋体"/>
          <w:color w:val="auto"/>
          <w:highlight w:val="none"/>
        </w:rPr>
      </w:pPr>
      <w:r>
        <w:rPr>
          <w:rFonts w:hint="eastAsia" w:ascii="宋体" w:hAnsi="宋体" w:cs="宋体"/>
          <w:color w:val="auto"/>
          <w:highlight w:val="none"/>
        </w:rPr>
        <w:t>1.2资格审查的依据是招标文件和投标文件。</w:t>
      </w:r>
    </w:p>
    <w:p>
      <w:pPr>
        <w:pStyle w:val="18"/>
        <w:spacing w:line="360" w:lineRule="auto"/>
        <w:rPr>
          <w:rFonts w:ascii="宋体" w:hAnsi="宋体" w:cs="宋体"/>
          <w:color w:val="auto"/>
          <w:highlight w:val="none"/>
        </w:rPr>
      </w:pPr>
      <w:r>
        <w:rPr>
          <w:rFonts w:hint="eastAsia" w:ascii="宋体" w:hAnsi="宋体" w:cs="宋体"/>
          <w:color w:val="auto"/>
          <w:highlight w:val="none"/>
        </w:rPr>
        <w:t>1.3资格审查的范围及内容：投标文件（资格及资信证明部分），具体如下：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numPr>
          <w:ilvl w:val="0"/>
          <w:numId w:val="2"/>
        </w:numPr>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一般资格证明文件：</w:t>
      </w:r>
    </w:p>
    <w:tbl>
      <w:tblPr>
        <w:tblStyle w:val="21"/>
        <w:tblW w:w="96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28"/>
        <w:gridCol w:w="75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b/>
                <w:bCs/>
                <w:color w:val="auto"/>
                <w:highlight w:val="none"/>
              </w:rPr>
            </w:pPr>
            <w:r>
              <w:rPr>
                <w:rFonts w:ascii="宋体" w:hAnsi="宋体" w:cs="宋体"/>
                <w:b/>
                <w:bCs/>
                <w:color w:val="auto"/>
                <w:kern w:val="0"/>
                <w:sz w:val="24"/>
                <w:highlight w:val="none"/>
                <w:lang w:bidi="ar"/>
              </w:rPr>
              <w:t>明细</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b/>
                <w:bCs/>
                <w:color w:val="auto"/>
                <w:highlight w:val="none"/>
              </w:rPr>
            </w:pPr>
            <w:r>
              <w:rPr>
                <w:rFonts w:ascii="宋体" w:hAnsi="宋体" w:cs="宋体"/>
                <w:b/>
                <w:bCs/>
                <w:color w:val="auto"/>
                <w:kern w:val="0"/>
                <w:sz w:val="24"/>
                <w:highlight w:val="none"/>
                <w:lang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（1）单位授权书</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自然人除外）：若投标人代表为单位授权的委托代理人，应提供本授权书；若投标人代表为单位负责人，应在此项下提交其身份证正反面复印件，可不提供本授权书。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（2）营业执照等证明文件</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（3）提供财务状况报告(财务报告、或资信证明）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（4）依法缴纳税收证明材料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①投标人提供的税收凭据复印件应符合下列规定： a.投标截止时间前（不含投标截止时间的当月）已依法缴纳税收的投标人，提供投标截止时间前六个月（不含投标截止时间的当月）中任一月份的税收凭据复印件。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（5）依法缴纳社会保障资金证明材料</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①投标人提供的社会保险凭据复印件应符合下列规定： a.投标截止时间前（不含投标截止时间的当月）已依法缴纳社会保障资金的投标人，提供投标截止时间前六个月（不含投标截止时间的当月）中任一月份的社会保险凭据复印件。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（6）具备履行合同所必需设备和专业技术能力的声明函(若有)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招标文件未要求投标人提供“具备履行合同所必需的设备和专业技术能力专项证明材料”的，投标人应提供本声明函。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（7）参加采购活动前三年内在经营活动中没有重大违法记录的声明</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（8）信用记录查询结果</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信用记录查询的截止时点：信用记录查询的截止时点为本项目投标截止当日。②信用记录查询渠道：信用中国（www.creditchina.gov.cn）、中国政府采购网（www.ccgp.gov.cn）。③信用记录的查询：由资格审查小组通过上述网站查询并打印投标人的信用记录。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（9）中小企业声明函（以资格条件落实中小企业扶持政策时适用 ）</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投标人为监狱企业的，可不填写本声明函，根据其提供的由省级以上监狱管理局、戒毒管理局（含新疆生产建设兵团）出具的属于监狱企业的证明文件进行认定，监狱企业视同小型、微型企业。③投标人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12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（10）联合体协议（若有）</w:t>
            </w:r>
          </w:p>
        </w:tc>
        <w:tc>
          <w:tcPr>
            <w:tcW w:w="7526"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lang w:bidi="ar"/>
              </w:rPr>
              <w:t>①招标文件接受联合体投标且投标人为联合体的，投标人应提供本协议；否则无须提供。②本协议由委托代理人签字或盖章的，应按照招标文件第七章载明的格式提供“单位授权书”。</w:t>
            </w:r>
          </w:p>
        </w:tc>
      </w:tr>
    </w:tbl>
    <w:p>
      <w:pPr>
        <w:widowControl/>
        <w:spacing w:after="156" w:afterLines="50"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②其他资格证明文件：</w:t>
      </w:r>
    </w:p>
    <w:tbl>
      <w:tblPr>
        <w:tblStyle w:val="21"/>
        <w:tblW w:w="966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44"/>
        <w:gridCol w:w="6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3344" w:type="dxa"/>
            <w:shd w:val="clear" w:color="auto" w:fill="auto"/>
            <w:vAlign w:val="center"/>
          </w:tcPr>
          <w:p>
            <w:pPr>
              <w:widowControl/>
              <w:snapToGrid w:val="0"/>
              <w:spacing w:line="460" w:lineRule="exact"/>
              <w:jc w:val="center"/>
              <w:rPr>
                <w:b/>
                <w:bCs/>
                <w:color w:val="auto"/>
                <w:highlight w:val="none"/>
              </w:rPr>
            </w:pPr>
            <w:r>
              <w:rPr>
                <w:rFonts w:ascii="宋体" w:hAnsi="宋体" w:cs="宋体"/>
                <w:b/>
                <w:bCs/>
                <w:color w:val="auto"/>
                <w:kern w:val="0"/>
                <w:sz w:val="24"/>
                <w:highlight w:val="none"/>
              </w:rPr>
              <w:t>明细</w:t>
            </w:r>
          </w:p>
        </w:tc>
        <w:tc>
          <w:tcPr>
            <w:tcW w:w="6317" w:type="dxa"/>
            <w:shd w:val="clear" w:color="auto" w:fill="auto"/>
            <w:vAlign w:val="center"/>
          </w:tcPr>
          <w:p>
            <w:pPr>
              <w:widowControl/>
              <w:snapToGrid w:val="0"/>
              <w:spacing w:line="460" w:lineRule="exact"/>
              <w:jc w:val="center"/>
              <w:rPr>
                <w:b/>
                <w:bCs/>
                <w:color w:val="auto"/>
                <w:highlight w:val="none"/>
              </w:rPr>
            </w:pPr>
            <w:r>
              <w:rPr>
                <w:rFonts w:ascii="宋体" w:hAnsi="宋体" w:cs="宋体"/>
                <w:b/>
                <w:bCs/>
                <w:color w:val="auto"/>
                <w:kern w:val="0"/>
                <w:sz w:val="24"/>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blCellSpacing w:w="0" w:type="dxa"/>
        </w:trPr>
        <w:tc>
          <w:tcPr>
            <w:tcW w:w="3344"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具备履行合同所必需设备和专业技术能力专项证明材料</w:t>
            </w:r>
          </w:p>
        </w:tc>
        <w:tc>
          <w:tcPr>
            <w:tcW w:w="6317"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投标人须提供具备履行合同所必需设备和专业技术能力的声明函。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3344"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落实政府采购政策的证明材料（专门面向中小企业采购）</w:t>
            </w:r>
          </w:p>
        </w:tc>
        <w:tc>
          <w:tcPr>
            <w:tcW w:w="6317" w:type="dxa"/>
            <w:shd w:val="clear" w:color="auto" w:fill="auto"/>
            <w:vAlign w:val="center"/>
          </w:tcPr>
          <w:p>
            <w:pPr>
              <w:widowControl/>
              <w:snapToGrid w:val="0"/>
              <w:spacing w:line="460" w:lineRule="exact"/>
              <w:jc w:val="left"/>
              <w:rPr>
                <w:color w:val="auto"/>
                <w:highlight w:val="none"/>
              </w:rPr>
            </w:pPr>
            <w:r>
              <w:rPr>
                <w:rFonts w:ascii="宋体" w:hAnsi="宋体" w:cs="宋体"/>
                <w:color w:val="auto"/>
                <w:kern w:val="0"/>
                <w:sz w:val="24"/>
                <w:highlight w:val="none"/>
              </w:rPr>
              <w:t>1、供应商提供的服务应符合《政府采购促进中小企业发展管理办法》(财库〔2020〕46号) 第四条规定的情形，且应当提供《政府采购促进中小企业发展管理办法》(财库〔2020〕46号)规定的《中小企业声明函》，格式见第五章《响应文件格式》附件。 2、供 应商为监狱企业的视同小型和微型企业，可不提供以上第1材料，但应当提供由省级以上监狱管理局、戒毒管理局(含新疆生产建设兵团)出具的属于监狱企业的证明文件。 3、供 应商为残疾人福利性单位的视同小型和微型企业，可不提供以上第1点材料，但应当提供《残疾人福利性单位声明函》，格式见第五章《响应文件格式》附件。</w:t>
            </w:r>
            <w:r>
              <w:rPr>
                <w:rFonts w:ascii="宋体" w:hAnsi="宋体" w:cs="宋体"/>
                <w:color w:val="auto"/>
                <w:kern w:val="0"/>
                <w:sz w:val="24"/>
                <w:highlight w:val="none"/>
              </w:rPr>
              <w:t>4、本采购项目</w:t>
            </w:r>
            <w:r>
              <w:rPr>
                <w:rFonts w:hint="eastAsia" w:ascii="宋体" w:hAnsi="宋体" w:cs="宋体"/>
                <w:color w:val="auto"/>
                <w:kern w:val="0"/>
                <w:sz w:val="24"/>
                <w:highlight w:val="none"/>
              </w:rPr>
              <w:t>属于服务类招标，</w:t>
            </w:r>
            <w:r>
              <w:rPr>
                <w:rFonts w:ascii="宋体" w:hAnsi="宋体" w:cs="宋体"/>
                <w:color w:val="auto"/>
                <w:kern w:val="0"/>
                <w:sz w:val="24"/>
                <w:highlight w:val="none"/>
              </w:rPr>
              <w:t>所属行业为其他未列明行业。</w:t>
            </w:r>
          </w:p>
        </w:tc>
      </w:tr>
    </w:tbl>
    <w:p>
      <w:pPr>
        <w:widowControl/>
        <w:spacing w:before="156" w:beforeLines="50" w:line="360" w:lineRule="auto"/>
        <w:ind w:firstLine="482"/>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1.4有下列情形之一的，</w:t>
      </w:r>
      <w:r>
        <w:rPr>
          <w:rFonts w:hint="eastAsia" w:ascii="宋体" w:hAnsi="宋体" w:cs="宋体"/>
          <w:b/>
          <w:bCs/>
          <w:color w:val="auto"/>
          <w:kern w:val="0"/>
          <w:sz w:val="24"/>
          <w:highlight w:val="none"/>
        </w:rPr>
        <w:t>资格审查不合格：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1"/>
        <w:tblW w:w="9679" w:type="dxa"/>
        <w:tblCellSpacing w:w="15"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79"/>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5"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8355"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8"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未按照招标文件规定提交投标人的资格及资信文件；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2" w:hRule="atLeast"/>
          <w:tblCellSpacing w:w="15" w:type="dxa"/>
        </w:trPr>
        <w:tc>
          <w:tcPr>
            <w:tcW w:w="1234"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8355" w:type="dxa"/>
            <w:tcMar>
              <w:top w:w="0" w:type="dxa"/>
              <w:left w:w="105" w:type="dxa"/>
              <w:bottom w:w="0" w:type="dxa"/>
              <w:right w:w="105" w:type="dxa"/>
            </w:tcMa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未按照招标文件规定提交投标保证金。</w:t>
            </w:r>
          </w:p>
        </w:tc>
      </w:tr>
    </w:tbl>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2、资格审查情况不得私自外泄，有关信息由建融建设管理集团有限责任公司 统一对外发布。</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3、资格审查合格的投标人不足三家的，不进行评标。同时，本次采购活动结束，建融建设管理集团有限责任公司 将依法组织后续采购活动（包括但不限于：重新招标、采用其他方式采购等）。</w:t>
      </w:r>
    </w:p>
    <w:p>
      <w:pPr>
        <w:widowControl/>
        <w:spacing w:before="75" w:after="75" w:line="360" w:lineRule="auto"/>
        <w:jc w:val="center"/>
        <w:rPr>
          <w:rFonts w:ascii="宋体" w:hAnsi="宋体" w:cs="宋体"/>
          <w:b/>
          <w:bCs/>
          <w:color w:val="auto"/>
          <w:kern w:val="0"/>
          <w:sz w:val="24"/>
          <w:highlight w:val="none"/>
        </w:rPr>
      </w:pPr>
      <w:r>
        <w:rPr>
          <w:rFonts w:hint="eastAsia" w:ascii="宋体" w:hAnsi="宋体" w:cs="宋体"/>
          <w:color w:val="auto"/>
          <w:kern w:val="0"/>
          <w:sz w:val="24"/>
          <w:highlight w:val="none"/>
        </w:rPr>
        <w:t> </w:t>
      </w:r>
      <w:r>
        <w:rPr>
          <w:rFonts w:hint="eastAsia" w:ascii="宋体" w:hAnsi="宋体" w:cs="宋体"/>
          <w:b/>
          <w:bCs/>
          <w:color w:val="auto"/>
          <w:kern w:val="0"/>
          <w:sz w:val="24"/>
          <w:highlight w:val="none"/>
        </w:rPr>
        <w:t>二、评标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4、建融建设管理集团有限责任公司 负责评标委员会的组建及评标工作的组织。</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w:t>
      </w:r>
    </w:p>
    <w:p>
      <w:pPr>
        <w:pStyle w:val="18"/>
        <w:widowControl/>
        <w:spacing w:before="75" w:after="75" w:line="360" w:lineRule="auto"/>
        <w:rPr>
          <w:rFonts w:ascii="宋体" w:hAnsi="宋体" w:cs="宋体"/>
          <w:color w:val="auto"/>
          <w:kern w:val="0"/>
          <w:highlight w:val="none"/>
        </w:rPr>
      </w:pPr>
      <w:r>
        <w:rPr>
          <w:rFonts w:hint="eastAsia" w:ascii="宋体" w:hAnsi="宋体" w:cs="宋体"/>
          <w:color w:val="auto"/>
          <w:highlight w:val="none"/>
        </w:rPr>
        <w:t>5.1评标委员会由采购人代表和评标专家两部分共5人（以下简称“评委”）组成，其中：由采购人派出的采购人代表1人，由福建省政府采购评审专家库产生的评标专家4人。</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5.2评标委员会负责具体评标事务，并按照下列原则依法独立履行有关职责：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（1）评标应保护国家利益、社会公共利益和各方当事人合法权益，提高采购效益，保证项目质量。</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（2）评标应遵循公平、公正、科学、严谨和择优原则。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（3）评标的依据是招标文件和投标文件。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（4）应按照招标文件规定推荐中标候选人或确定中标人。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（5）评标应遵守下列评标纪律：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①评标情况不得私自外泄，有关信息由建融建设管理集团有限责任公司 统一对外发布。</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②对建融建设管理集团有限责任公司 或投标人提供的要求保密的资料，不得摘记翻印和外传。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③不得收受投标人或有关人员的任何礼物，不得串联鼓动其他人袒护某投标人。若与投标人存在利害关系，则应主动声明并回避。</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④全体评委应按照招标文件规定进行评标，一切认定事项应查有实据且不得弄虚作假。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⑤评标中应充分发扬民主，推荐中标候选人或确定中标人后要服从评标报告。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※对违反评标纪律的评委，将取消其评委资格，对评标工作造成严重损失者将予以通报批评乃至追究法律责任。</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6、评标程序</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6.1评标前的准备工作</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（1）全体评委应认真审阅招标文件，了解评委应履行或遵守的职责、义务和评标纪律。</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6.2符合性审查</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（1）评标委员会依据招标文件的实质性要求，对通过资格审查的投标文件进行符合性审查，以确定其是否满足招标文件的实质性要求。</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（2）满足招标文件的实质性要求指投标文件对招标文件实质性要求的响应不存在重大偏差或保留。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（5）评标委员会对所有投标人都执行相同的程序和标准。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（6）有下列情形之一的，</w:t>
      </w:r>
      <w:r>
        <w:rPr>
          <w:rFonts w:hint="eastAsia" w:ascii="宋体" w:hAnsi="宋体" w:cs="宋体"/>
          <w:b/>
          <w:bCs/>
          <w:color w:val="auto"/>
          <w:kern w:val="0"/>
          <w:sz w:val="24"/>
          <w:highlight w:val="none"/>
        </w:rPr>
        <w:t>符合性审查不合格：</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①一般情形：</w:t>
      </w:r>
    </w:p>
    <w:tbl>
      <w:tblPr>
        <w:tblStyle w:val="21"/>
        <w:tblW w:w="9685"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63"/>
        <w:gridCol w:w="8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8777"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a1</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违反招标文件中载明“</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4"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a2</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属于招标文件第三章第10.12条规定的</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3" w:hRule="atLeast"/>
          <w:tblCellSpacing w:w="15" w:type="dxa"/>
        </w:trPr>
        <w:tc>
          <w:tcPr>
            <w:tcW w:w="818" w:type="dxa"/>
            <w:tcMar>
              <w:top w:w="0" w:type="dxa"/>
              <w:left w:w="105" w:type="dxa"/>
              <w:bottom w:w="0" w:type="dxa"/>
              <w:right w:w="105" w:type="dxa"/>
            </w:tcMar>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a3</w:t>
            </w:r>
          </w:p>
        </w:tc>
        <w:tc>
          <w:tcPr>
            <w:tcW w:w="8777" w:type="dxa"/>
            <w:tcMar>
              <w:top w:w="0" w:type="dxa"/>
              <w:left w:w="105" w:type="dxa"/>
              <w:bottom w:w="0" w:type="dxa"/>
              <w:right w:w="105" w:type="dxa"/>
            </w:tcMar>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投标文件对招标文件实质性要求的响应存在重大偏离或保留。</w:t>
            </w:r>
          </w:p>
        </w:tc>
      </w:tr>
    </w:tbl>
    <w:p>
      <w:pPr>
        <w:pStyle w:val="18"/>
        <w:widowControl/>
        <w:spacing w:before="75" w:after="75" w:line="360" w:lineRule="auto"/>
        <w:ind w:firstLine="480"/>
        <w:rPr>
          <w:rFonts w:ascii="宋体" w:hAnsi="宋体" w:cs="宋体"/>
          <w:color w:val="auto"/>
          <w:highlight w:val="none"/>
        </w:rPr>
      </w:pPr>
      <w:r>
        <w:rPr>
          <w:rFonts w:hint="eastAsia" w:ascii="宋体" w:hAnsi="宋体" w:cs="宋体"/>
          <w:color w:val="auto"/>
          <w:highlight w:val="none"/>
        </w:rPr>
        <w:t>②本项目规定的其他情形：</w:t>
      </w:r>
      <w:r>
        <w:rPr>
          <w:rFonts w:hint="eastAsia" w:ascii="宋体" w:hAnsi="宋体" w:cs="宋体"/>
          <w:color w:val="auto"/>
          <w:highlight w:val="none"/>
        </w:rPr>
        <w:br w:type="textWrapping"/>
      </w:r>
      <w:r>
        <w:rPr>
          <w:rFonts w:hint="eastAsia" w:ascii="宋体" w:hAnsi="宋体" w:cs="宋体"/>
          <w:color w:val="auto"/>
          <w:highlight w:val="none"/>
        </w:rPr>
        <w:t xml:space="preserve">包：1 </w:t>
      </w:r>
      <w:r>
        <w:rPr>
          <w:rFonts w:hint="eastAsia" w:ascii="宋体" w:hAnsi="宋体" w:cs="宋体"/>
          <w:color w:val="auto"/>
          <w:highlight w:val="none"/>
        </w:rPr>
        <w:br w:type="textWrapping"/>
      </w:r>
      <w:r>
        <w:rPr>
          <w:rFonts w:hint="eastAsia" w:ascii="宋体" w:hAnsi="宋体" w:cs="宋体"/>
          <w:color w:val="auto"/>
          <w:highlight w:val="none"/>
        </w:rPr>
        <w:t xml:space="preserve">一般情形 </w:t>
      </w:r>
      <w:r>
        <w:rPr>
          <w:rFonts w:hint="eastAsia" w:ascii="宋体" w:hAnsi="宋体" w:cs="宋体"/>
          <w:color w:val="auto"/>
          <w:highlight w:val="none"/>
        </w:rPr>
        <w:br w:type="textWrapping"/>
      </w:r>
      <w:r>
        <w:rPr>
          <w:rStyle w:val="25"/>
          <w:rFonts w:hint="eastAsia" w:ascii="宋体" w:hAnsi="宋体" w:cs="宋体"/>
          <w:color w:val="auto"/>
          <w:highlight w:val="none"/>
        </w:rPr>
        <w:t>         无</w:t>
      </w:r>
    </w:p>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 xml:space="preserve">技术符合性 </w:t>
      </w:r>
    </w:p>
    <w:tbl>
      <w:tblPr>
        <w:tblStyle w:val="21"/>
        <w:tblW w:w="9627"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blHeader/>
          <w:tblCellSpacing w:w="0" w:type="dxa"/>
        </w:trPr>
        <w:tc>
          <w:tcPr>
            <w:tcW w:w="9627"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627" w:type="dxa"/>
            <w:vAlign w:val="center"/>
          </w:tcPr>
          <w:p>
            <w:pPr>
              <w:widowControl/>
              <w:numPr>
                <w:ilvl w:val="0"/>
                <w:numId w:val="3"/>
              </w:numPr>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投标人投标文件技术商务部分中出现报价部分的全部或部分的投标报价信息（或组成资料）的，按无效投标处理。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627"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2）技术和服务要求中对招标文件第五章以“★”标示的内容出现负偏离的，按无效投标处理。</w:t>
            </w:r>
          </w:p>
        </w:tc>
      </w:tr>
    </w:tbl>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商务符合性 </w:t>
      </w:r>
    </w:p>
    <w:tbl>
      <w:tblPr>
        <w:tblStyle w:val="21"/>
        <w:tblW w:w="966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tblHeader/>
          <w:tblCellSpacing w:w="0" w:type="dxa"/>
        </w:trPr>
        <w:tc>
          <w:tcPr>
            <w:tcW w:w="9660" w:type="dxa"/>
            <w:vAlign w:val="center"/>
          </w:tcPr>
          <w:p>
            <w:pPr>
              <w:widowControl/>
              <w:spacing w:line="360" w:lineRule="auto"/>
              <w:jc w:val="center"/>
              <w:rPr>
                <w:rFonts w:ascii="宋体" w:hAnsi="宋体" w:cs="宋体"/>
                <w:b/>
                <w:color w:val="auto"/>
                <w:highlight w:val="none"/>
              </w:rPr>
            </w:pPr>
            <w:r>
              <w:rPr>
                <w:rFonts w:hint="eastAsia" w:ascii="宋体" w:hAnsi="宋体" w:cs="宋体"/>
                <w:b/>
                <w:color w:val="auto"/>
                <w:kern w:val="0"/>
                <w:sz w:val="24"/>
                <w:highlight w:val="none"/>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blCellSpacing w:w="0" w:type="dxa"/>
        </w:trPr>
        <w:tc>
          <w:tcPr>
            <w:tcW w:w="9660" w:type="dxa"/>
            <w:vAlign w:val="center"/>
          </w:tcPr>
          <w:p>
            <w:pPr>
              <w:widowControl/>
              <w:spacing w:line="360" w:lineRule="auto"/>
              <w:jc w:val="left"/>
              <w:rPr>
                <w:rFonts w:ascii="宋体" w:hAnsi="宋体" w:cs="宋体"/>
                <w:b/>
                <w:color w:val="auto"/>
                <w:kern w:val="0"/>
                <w:sz w:val="24"/>
                <w:highlight w:val="none"/>
              </w:rPr>
            </w:pPr>
            <w:r>
              <w:rPr>
                <w:rFonts w:hint="eastAsia" w:ascii="宋体" w:hAnsi="宋体" w:cs="宋体"/>
                <w:color w:val="auto"/>
                <w:kern w:val="0"/>
                <w:sz w:val="24"/>
                <w:highlight w:val="none"/>
              </w:rPr>
              <w:t xml:space="preserve">1）投标人投标文件商务部分中出现报价部分的全部或部分的投标报价信息（或组成资料）的，按无效投标处理。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9660" w:type="dxa"/>
            <w:vAlign w:val="center"/>
          </w:tcPr>
          <w:p>
            <w:pPr>
              <w:widowControl/>
              <w:spacing w:line="360" w:lineRule="auto"/>
              <w:jc w:val="left"/>
              <w:rPr>
                <w:rFonts w:ascii="宋体" w:hAnsi="宋体" w:cs="宋体"/>
                <w:color w:val="auto"/>
                <w:highlight w:val="none"/>
              </w:rPr>
            </w:pPr>
            <w:r>
              <w:rPr>
                <w:rFonts w:hint="eastAsia" w:ascii="宋体" w:hAnsi="宋体" w:cs="宋体"/>
                <w:color w:val="auto"/>
                <w:kern w:val="0"/>
                <w:sz w:val="24"/>
                <w:highlight w:val="none"/>
              </w:rPr>
              <w:t>2）投标人的商务条件响应表中对招标文件规定的商务条件出现负偏离的，按无效投标处理。</w:t>
            </w:r>
          </w:p>
        </w:tc>
      </w:tr>
    </w:tbl>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附加符合性</w:t>
      </w:r>
      <w:r>
        <w:rPr>
          <w:rFonts w:hint="eastAsia" w:ascii="宋体" w:hAnsi="宋体" w:cs="宋体"/>
          <w:color w:val="auto"/>
          <w:kern w:val="0"/>
          <w:sz w:val="24"/>
          <w:highlight w:val="none"/>
        </w:rPr>
        <w:br w:type="textWrapping"/>
      </w:r>
      <w:r>
        <w:rPr>
          <w:rStyle w:val="25"/>
          <w:rFonts w:hint="eastAsia" w:ascii="宋体" w:hAnsi="宋体" w:cs="宋体"/>
          <w:color w:val="auto"/>
          <w:kern w:val="0"/>
          <w:sz w:val="24"/>
          <w:highlight w:val="none"/>
        </w:rPr>
        <w:t>         无</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 xml:space="preserve">价格符合性 </w:t>
      </w:r>
    </w:p>
    <w:p>
      <w:pPr>
        <w:widowControl/>
        <w:spacing w:before="75" w:after="75" w:line="360" w:lineRule="auto"/>
        <w:ind w:firstLine="480"/>
        <w:jc w:val="left"/>
        <w:rPr>
          <w:rStyle w:val="25"/>
          <w:rFonts w:ascii="宋体" w:hAnsi="宋体" w:cs="宋体"/>
          <w:color w:val="auto"/>
          <w:kern w:val="0"/>
          <w:sz w:val="24"/>
          <w:highlight w:val="none"/>
        </w:rPr>
      </w:pPr>
      <w:r>
        <w:rPr>
          <w:rStyle w:val="25"/>
          <w:rFonts w:hint="eastAsia" w:ascii="宋体" w:hAnsi="宋体" w:cs="宋体"/>
          <w:color w:val="auto"/>
          <w:kern w:val="0"/>
          <w:sz w:val="24"/>
          <w:highlight w:val="none"/>
        </w:rPr>
        <w:t>       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6.3澄清有关问题</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（1）对通过符合性审查的投标文件中含义不明确、同类问题表述不一致或有明显文字和计算错误的内容，评标委员会将以书面形式要求投标人作出必要的澄清、说明或补正。</w:t>
      </w:r>
    </w:p>
    <w:p>
      <w:pPr>
        <w:widowControl/>
        <w:spacing w:before="75" w:after="75" w:line="360" w:lineRule="auto"/>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（3）投标文件报价出现前后不一致的，除招标文件另有规定外，按照下列规定修正：</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①开标一览表内容与投标文件中相应内容不一致的，以开标一览表为准；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②大写金额和小写金额不一致的，以大写金额为准；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③单价金额小数点或百分比有明显错位的，以开标一览表的总价为准，并修改单价；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④总价金额与按照单价汇总金额不一致的，以单价金额计算结果为准。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※同时出现两种以上不一致的，按照前款规定的顺序修正。修正后的报价应按照本章第6.3条第（1）、（2）款规定经投标人确认后产生约束力，投标人不确认的，其投标无效。</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（4）关于细微偏差</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②评标委员会将以书面形式要求存在细微偏差的投标人在评标委员会规定的时间内予以补正。若无法补正，则评标委员会将按照不利于投标人的内容进行认定。</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（5）关于投标描述（即投标文件中描述的内容）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①投标描述前后不一致且不涉及证明材料的：按照本章第6.3条第（1）、（2）款规定执行。</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②投标描述与证明材料不一致或多份证明材料之间不一致的：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a.评标委员会将要求投标人进行书面澄清，并按照不利于投标人的内容进行评标。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6.4比较与评价</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（1）按照本章第7条载明的评标方法和标准，对符合性审查合格的投标文件进行比较与评价。</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u w:val="single"/>
        </w:rPr>
        <w:t>（2）关于相同品牌产品</w:t>
      </w:r>
      <w:r>
        <w:rPr>
          <w:rFonts w:hint="eastAsia" w:ascii="宋体" w:hAnsi="宋体" w:cs="宋体"/>
          <w:b/>
          <w:bCs/>
          <w:color w:val="auto"/>
          <w:kern w:val="0"/>
          <w:sz w:val="24"/>
          <w:highlight w:val="none"/>
        </w:rPr>
        <w:t>（政府采购服务类项目不适用本条款规定）</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w:t>
      </w:r>
      <w:r>
        <w:rPr>
          <w:rFonts w:hint="eastAsia" w:ascii="宋体" w:hAnsi="宋体" w:cs="宋体"/>
          <w:b/>
          <w:bCs/>
          <w:color w:val="auto"/>
          <w:kern w:val="0"/>
          <w:sz w:val="24"/>
          <w:highlight w:val="none"/>
        </w:rPr>
        <w:t>投标无效。</w:t>
      </w:r>
    </w:p>
    <w:p>
      <w:pPr>
        <w:widowControl/>
        <w:spacing w:line="360" w:lineRule="auto"/>
        <w:ind w:firstLine="480"/>
        <w:jc w:val="left"/>
        <w:rPr>
          <w:rFonts w:ascii="宋体" w:hAnsi="宋体" w:cs="宋体"/>
          <w:color w:val="auto"/>
          <w:kern w:val="0"/>
          <w:sz w:val="24"/>
          <w:highlight w:val="none"/>
          <w:u w:val="single"/>
        </w:rPr>
      </w:pPr>
      <w:r>
        <w:rPr>
          <w:rFonts w:hint="eastAsia" w:ascii="宋体" w:hAnsi="宋体" w:cs="宋体"/>
          <w:color w:val="auto"/>
          <w:kern w:val="0"/>
          <w:sz w:val="24"/>
          <w:highlight w:val="none"/>
          <w:u w:val="singl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a.招标文件规定的方式：</w:t>
      </w:r>
      <w:r>
        <w:rPr>
          <w:rFonts w:hint="eastAsia" w:ascii="宋体" w:hAnsi="宋体" w:cs="宋体"/>
          <w:color w:val="auto"/>
          <w:kern w:val="0"/>
          <w:sz w:val="24"/>
          <w:highlight w:val="none"/>
          <w:u w:val="single"/>
        </w:rPr>
        <w:t>无</w:t>
      </w:r>
      <w:r>
        <w:rPr>
          <w:rFonts w:hint="eastAsia" w:ascii="宋体" w:hAnsi="宋体" w:cs="宋体"/>
          <w:color w:val="auto"/>
          <w:kern w:val="0"/>
          <w:sz w:val="24"/>
          <w:highlight w:val="none"/>
        </w:rPr>
        <w:t>。</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b.招标文件未规定的，采取随机抽取方式确定，其他同品牌投标人不作为中标候选人。</w:t>
      </w:r>
    </w:p>
    <w:p>
      <w:pPr>
        <w:widowControl/>
        <w:spacing w:line="360" w:lineRule="auto"/>
        <w:ind w:firstLine="480"/>
        <w:jc w:val="left"/>
        <w:rPr>
          <w:rFonts w:ascii="宋体" w:hAnsi="宋体" w:cs="宋体"/>
          <w:b/>
          <w:bCs/>
          <w:color w:val="auto"/>
          <w:kern w:val="0"/>
          <w:sz w:val="24"/>
          <w:highlight w:val="none"/>
          <w:u w:val="single"/>
        </w:rPr>
      </w:pPr>
      <w:r>
        <w:rPr>
          <w:rFonts w:hint="eastAsia" w:ascii="宋体" w:hAnsi="宋体" w:cs="宋体"/>
          <w:b/>
          <w:bCs/>
          <w:color w:val="auto"/>
          <w:kern w:val="0"/>
          <w:sz w:val="24"/>
          <w:highlight w:val="none"/>
        </w:rPr>
        <w:t>③</w:t>
      </w:r>
      <w:r>
        <w:rPr>
          <w:rFonts w:hint="eastAsia" w:ascii="宋体" w:hAnsi="宋体" w:cs="宋体"/>
          <w:b/>
          <w:bCs/>
          <w:color w:val="auto"/>
          <w:kern w:val="0"/>
          <w:sz w:val="24"/>
          <w:highlight w:val="none"/>
          <w:u w:val="single"/>
        </w:rPr>
        <w:t>非单一产品采购项目，多家投标人提供的核心产品品牌相同的，按照本章第6.4条第（2）款第①、②规定处理。</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（3）漏（缺）项</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①招标文件中要求列入报价的费用（含配置、功能），漏（缺）项的报价视为已经包括在投标总价中。</w:t>
      </w:r>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②对多报项及赠送项的价格评标时不予核减，全部进入评标价评议。</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6.5推荐中标候选人：详见本章第7.2条规定。</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6.6编写评标报告</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（1）评标报告由评标委员会负责编写。</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（2）评标报告应包括下列内容：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①招标公告刊登的网站名称、开标日期和地点；</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②投标人名单和评标委员会成员名单；</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③评标方法和标准；</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④开标记录和评标情况及说明，包括无效投标人名单及原因；</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⑤评标结果，包括中标候选人名单或确定的中标人；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⑥其他需要说明的情况，包括但不限于：评标过程中投标人的澄清、说明或补正，评委更换等。</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处理。</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6.8评委对需要共同认定的事项存在争议的，应按照少数服从多数的原则进行认定。</w:t>
      </w:r>
      <w:r>
        <w:rPr>
          <w:rFonts w:hint="eastAsia" w:ascii="宋体" w:hAnsi="宋体" w:cs="宋体"/>
          <w:b/>
          <w:bCs/>
          <w:color w:val="auto"/>
          <w:kern w:val="0"/>
          <w:sz w:val="24"/>
          <w:highlight w:val="none"/>
        </w:rPr>
        <w:t>持不同意见的评委应在评标报告上签署不同意见及理由，否则视为同意评标报告。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6.9在评标过程中发现投标人有下列情形之一的，评标委员会应认定其</w:t>
      </w:r>
      <w:r>
        <w:rPr>
          <w:rFonts w:hint="eastAsia" w:ascii="宋体" w:hAnsi="宋体" w:cs="宋体"/>
          <w:b/>
          <w:bCs/>
          <w:color w:val="auto"/>
          <w:kern w:val="0"/>
          <w:sz w:val="24"/>
          <w:highlight w:val="none"/>
        </w:rPr>
        <w:t>投标无效</w:t>
      </w:r>
      <w:r>
        <w:rPr>
          <w:rFonts w:hint="eastAsia" w:ascii="宋体" w:hAnsi="宋体" w:cs="宋体"/>
          <w:color w:val="auto"/>
          <w:kern w:val="0"/>
          <w:sz w:val="24"/>
          <w:highlight w:val="none"/>
        </w:rPr>
        <w:t>，并书面报告本项目监督管理部门：</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（1）恶意串通（包括但不限于招标文件第三章第9.7条规定情形）；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（2）妨碍其他投标人的竞争行为；</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（3）损害采购人或其他投标人的合法权益。</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6.10评标过程中，有下列情形之一的，应予废标：</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（1）符合性审查合格的投标人不足三家的；</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（2）有关法律、法规和规章规定废标的情形。</w:t>
      </w:r>
    </w:p>
    <w:p>
      <w:pPr>
        <w:widowControl/>
        <w:spacing w:before="75" w:after="75" w:line="360" w:lineRule="auto"/>
        <w:ind w:firstLine="480"/>
        <w:jc w:val="left"/>
        <w:rPr>
          <w:rFonts w:ascii="宋体" w:hAnsi="宋体" w:cs="宋体"/>
          <w:color w:val="auto"/>
          <w:kern w:val="0"/>
          <w:sz w:val="24"/>
          <w:highlight w:val="none"/>
        </w:rPr>
      </w:pPr>
      <w:r>
        <w:rPr>
          <w:rFonts w:hint="eastAsia" w:ascii="宋体" w:hAnsi="宋体" w:cs="宋体"/>
          <w:b/>
          <w:bCs/>
          <w:color w:val="auto"/>
          <w:kern w:val="0"/>
          <w:sz w:val="24"/>
          <w:highlight w:val="none"/>
        </w:rPr>
        <w:t>※若废标，则本次采购活动结束，</w:t>
      </w:r>
      <w:r>
        <w:rPr>
          <w:rFonts w:hint="eastAsia" w:ascii="宋体" w:hAnsi="宋体" w:cs="宋体"/>
          <w:color w:val="auto"/>
          <w:kern w:val="0"/>
          <w:sz w:val="24"/>
          <w:highlight w:val="none"/>
        </w:rPr>
        <w:t xml:space="preserve">建融建设管理集团有限责任公司 </w:t>
      </w:r>
      <w:r>
        <w:rPr>
          <w:rFonts w:hint="eastAsia" w:ascii="宋体" w:hAnsi="宋体" w:cs="宋体"/>
          <w:b/>
          <w:bCs/>
          <w:color w:val="auto"/>
          <w:kern w:val="0"/>
          <w:sz w:val="24"/>
          <w:highlight w:val="none"/>
        </w:rPr>
        <w:t>将依法组织后续采购活动（包括但不限于：重新招标、采用其他方式采购等）。</w:t>
      </w:r>
    </w:p>
    <w:p>
      <w:pPr>
        <w:keepNext w:val="0"/>
        <w:keepLines w:val="0"/>
        <w:pageBreakBefore w:val="0"/>
        <w:widowControl/>
        <w:kinsoku/>
        <w:wordWrap/>
        <w:overflowPunct/>
        <w:topLinePunct w:val="0"/>
        <w:bidi w:val="0"/>
        <w:spacing w:line="400" w:lineRule="exact"/>
        <w:ind w:left="0" w:right="0"/>
        <w:jc w:val="left"/>
        <w:textAlignment w:val="auto"/>
        <w:rPr>
          <w:rFonts w:ascii="宋体" w:hAnsi="宋体" w:cs="宋体"/>
          <w:color w:val="auto"/>
          <w:kern w:val="0"/>
          <w:sz w:val="24"/>
          <w:highlight w:val="none"/>
        </w:rPr>
      </w:pPr>
      <w:r>
        <w:rPr>
          <w:rFonts w:hint="eastAsia" w:ascii="宋体" w:hAnsi="宋体" w:cs="宋体"/>
          <w:color w:val="auto"/>
          <w:kern w:val="0"/>
          <w:sz w:val="24"/>
          <w:highlight w:val="none"/>
        </w:rPr>
        <w:t>7、评标方法和标准</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7.1评标方法：</w:t>
      </w:r>
      <w:r>
        <w:rPr>
          <w:color w:val="auto"/>
          <w:highlight w:val="none"/>
        </w:rPr>
        <w:t xml:space="preserve"> 项目包1采用综合评分法。</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7.2评标标准 </w:t>
      </w:r>
    </w:p>
    <w:p>
      <w:pPr>
        <w:pStyle w:val="18"/>
        <w:keepNext w:val="0"/>
        <w:keepLines w:val="0"/>
        <w:pageBreakBefore w:val="0"/>
        <w:widowControl/>
        <w:shd w:val="clear" w:color="auto" w:fill="FFFFFF"/>
        <w:kinsoku/>
        <w:wordWrap/>
        <w:overflowPunct/>
        <w:topLinePunct w:val="0"/>
        <w:bidi w:val="0"/>
        <w:spacing w:line="400" w:lineRule="exact"/>
        <w:ind w:left="0" w:right="0"/>
        <w:textAlignment w:val="auto"/>
        <w:rPr>
          <w:rFonts w:ascii="微软雅黑" w:hAnsi="微软雅黑" w:eastAsia="微软雅黑" w:cs="微软雅黑"/>
          <w:color w:val="auto"/>
          <w:sz w:val="19"/>
          <w:szCs w:val="19"/>
          <w:highlight w:val="none"/>
        </w:rPr>
      </w:pPr>
      <w:r>
        <w:rPr>
          <w:rStyle w:val="25"/>
          <w:rFonts w:hint="eastAsia" w:ascii="宋体" w:hAnsi="宋体" w:cs="宋体"/>
          <w:color w:val="auto"/>
          <w:highlight w:val="none"/>
          <w:shd w:val="clear" w:color="auto" w:fill="FFFFFF"/>
        </w:rPr>
        <w:t>采购包1采用综合评分法</w:t>
      </w:r>
      <w:r>
        <w:rPr>
          <w:rFonts w:hint="eastAsia" w:ascii="宋体" w:hAnsi="宋体" w:cs="宋体"/>
          <w:color w:val="auto"/>
          <w:highlight w:val="none"/>
          <w:shd w:val="clear" w:color="auto" w:fill="FFFFFF"/>
        </w:rPr>
        <w:t>：</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（1）投标文件满足招标文件全部实质性要求，且按照评审因素的量化指标评审得分（即评标总得分）最高的投标人为中标候选人。</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（2）每个投标人的评标总得分</w:t>
      </w:r>
      <w:r>
        <w:rPr>
          <w:rFonts w:ascii="Calibri" w:hAnsi="Calibri" w:cs="Calibri"/>
          <w:color w:val="auto"/>
          <w:highlight w:val="none"/>
        </w:rPr>
        <w:t>FA</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w:t>
      </w:r>
      <w:r>
        <w:rPr>
          <w:rFonts w:hint="eastAsia" w:ascii="宋体" w:hAnsi="宋体" w:cs="宋体"/>
          <w:color w:val="auto"/>
          <w:highlight w:val="none"/>
        </w:rPr>
        <w:t>＋</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（若有），其中：</w:t>
      </w:r>
      <w:r>
        <w:rPr>
          <w:rFonts w:ascii="Calibri" w:hAnsi="Calibri" w:cs="Calibri"/>
          <w:color w:val="auto"/>
          <w:highlight w:val="none"/>
        </w:rPr>
        <w:t>F1</w:t>
      </w:r>
      <w:r>
        <w:rPr>
          <w:rFonts w:hint="eastAsia" w:ascii="宋体" w:hAnsi="宋体" w:cs="宋体"/>
          <w:color w:val="auto"/>
          <w:highlight w:val="none"/>
        </w:rPr>
        <w:t>指价格项评审因素得分、</w:t>
      </w:r>
      <w:r>
        <w:rPr>
          <w:rFonts w:ascii="Calibri" w:hAnsi="Calibri" w:cs="Calibri"/>
          <w:color w:val="auto"/>
          <w:highlight w:val="none"/>
        </w:rPr>
        <w:t>F2</w:t>
      </w:r>
      <w:r>
        <w:rPr>
          <w:rFonts w:hint="eastAsia" w:ascii="宋体" w:hAnsi="宋体" w:cs="宋体"/>
          <w:color w:val="auto"/>
          <w:highlight w:val="none"/>
        </w:rPr>
        <w:t>指技术项评审因素得分、</w:t>
      </w:r>
      <w:r>
        <w:rPr>
          <w:rFonts w:ascii="Calibri" w:hAnsi="Calibri" w:cs="Calibri"/>
          <w:color w:val="auto"/>
          <w:highlight w:val="none"/>
        </w:rPr>
        <w:t>F3</w:t>
      </w:r>
      <w:r>
        <w:rPr>
          <w:rFonts w:hint="eastAsia" w:ascii="宋体" w:hAnsi="宋体" w:cs="宋体"/>
          <w:color w:val="auto"/>
          <w:highlight w:val="none"/>
        </w:rPr>
        <w:t>指商务项评审因素得分，</w:t>
      </w:r>
      <w:r>
        <w:rPr>
          <w:rFonts w:ascii="Calibri" w:hAnsi="Calibri" w:cs="Calibri"/>
          <w:color w:val="auto"/>
          <w:highlight w:val="none"/>
        </w:rPr>
        <w:t>A1</w:t>
      </w:r>
      <w:r>
        <w:rPr>
          <w:rFonts w:hint="eastAsia" w:ascii="宋体" w:hAnsi="宋体" w:cs="宋体"/>
          <w:color w:val="auto"/>
          <w:highlight w:val="none"/>
        </w:rPr>
        <w:t>指价格项评审因素所占的权重、</w:t>
      </w:r>
      <w:r>
        <w:rPr>
          <w:rFonts w:ascii="Calibri" w:hAnsi="Calibri" w:cs="Calibri"/>
          <w:color w:val="auto"/>
          <w:highlight w:val="none"/>
        </w:rPr>
        <w:t>A2</w:t>
      </w:r>
      <w:r>
        <w:rPr>
          <w:rFonts w:hint="eastAsia" w:ascii="宋体" w:hAnsi="宋体" w:cs="宋体"/>
          <w:color w:val="auto"/>
          <w:highlight w:val="none"/>
        </w:rPr>
        <w:t>指技术项评审因素所占的权重、</w:t>
      </w:r>
      <w:r>
        <w:rPr>
          <w:rFonts w:ascii="Calibri" w:hAnsi="Calibri" w:cs="Calibri"/>
          <w:color w:val="auto"/>
          <w:highlight w:val="none"/>
        </w:rPr>
        <w:t>A3</w:t>
      </w:r>
      <w:r>
        <w:rPr>
          <w:rFonts w:hint="eastAsia" w:ascii="宋体" w:hAnsi="宋体" w:cs="宋体"/>
          <w:color w:val="auto"/>
          <w:highlight w:val="none"/>
        </w:rPr>
        <w:t>指商务项评审因素所占的权重，</w:t>
      </w:r>
      <w:r>
        <w:rPr>
          <w:rFonts w:ascii="Calibri" w:hAnsi="Calibri" w:cs="Calibri"/>
          <w:color w:val="auto"/>
          <w:highlight w:val="none"/>
        </w:rPr>
        <w:t>A1+A2+A3=1</w:t>
      </w:r>
      <w:r>
        <w:rPr>
          <w:rFonts w:hint="eastAsia" w:ascii="宋体" w:hAnsi="宋体" w:cs="宋体"/>
          <w:color w:val="auto"/>
          <w:highlight w:val="none"/>
        </w:rPr>
        <w:t>、</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w:t>
      </w:r>
      <w:r>
        <w:rPr>
          <w:rFonts w:ascii="Calibri" w:hAnsi="Calibri" w:cs="Calibri"/>
          <w:color w:val="auto"/>
          <w:highlight w:val="none"/>
        </w:rPr>
        <w:t>F3</w:t>
      </w:r>
      <w:r>
        <w:rPr>
          <w:rFonts w:hint="eastAsia" w:ascii="宋体" w:hAnsi="宋体" w:cs="宋体"/>
          <w:color w:val="auto"/>
          <w:highlight w:val="none"/>
        </w:rPr>
        <w:t>×</w:t>
      </w:r>
      <w:r>
        <w:rPr>
          <w:rFonts w:ascii="Calibri" w:hAnsi="Calibri" w:cs="Calibri"/>
          <w:color w:val="auto"/>
          <w:highlight w:val="none"/>
        </w:rPr>
        <w:t>A3=100</w:t>
      </w:r>
      <w:r>
        <w:rPr>
          <w:rFonts w:hint="eastAsia" w:ascii="宋体" w:hAnsi="宋体" w:cs="宋体"/>
          <w:color w:val="auto"/>
          <w:highlight w:val="none"/>
        </w:rPr>
        <w:t>分（满分时），</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为加分项（即优先类节能产品、环境标志产品在采购活动中可享有的加分优惠）。</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（3）各项评审因素的设置如下：</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①价格项（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）满分为</w:t>
      </w:r>
      <w:r>
        <w:rPr>
          <w:rFonts w:hint="eastAsia" w:ascii="宋体" w:hAnsi="宋体" w:cs="宋体"/>
          <w:color w:val="auto"/>
          <w:highlight w:val="none"/>
          <w:u w:val="single"/>
        </w:rPr>
        <w:t>30</w:t>
      </w:r>
      <w:r>
        <w:rPr>
          <w:rFonts w:hint="eastAsia" w:ascii="宋体" w:hAnsi="宋体" w:cs="宋体"/>
          <w:color w:val="auto"/>
          <w:highlight w:val="none"/>
        </w:rPr>
        <w:t>分。</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a.价格分采用低价优先法计算，即满足招标文件要求且投标价格最低的投标报价为评标基准价，其价格分为满分。其他投标人的价格分统一按照下列公式计算：投标报价得分</w:t>
      </w:r>
      <w:r>
        <w:rPr>
          <w:rFonts w:ascii="Calibri" w:hAnsi="Calibri" w:cs="Calibri"/>
          <w:color w:val="auto"/>
          <w:highlight w:val="none"/>
        </w:rPr>
        <w:t>=</w:t>
      </w:r>
      <w:r>
        <w:rPr>
          <w:rFonts w:hint="eastAsia" w:ascii="宋体" w:hAnsi="宋体" w:cs="宋体"/>
          <w:color w:val="auto"/>
          <w:highlight w:val="none"/>
        </w:rPr>
        <w:t>（评标基准价／投标报价）×</w:t>
      </w:r>
      <w:r>
        <w:rPr>
          <w:rFonts w:hint="eastAsia" w:ascii="Calibri" w:hAnsi="Calibri" w:cs="Calibri"/>
          <w:color w:val="auto"/>
          <w:highlight w:val="none"/>
        </w:rPr>
        <w:t>30</w:t>
      </w:r>
      <w:r>
        <w:rPr>
          <w:rFonts w:hint="eastAsia" w:ascii="宋体" w:hAnsi="宋体" w:cs="宋体"/>
          <w:color w:val="auto"/>
          <w:highlight w:val="none"/>
        </w:rPr>
        <w:t>。因落实政府采购政策需进行价格扣除的，以扣除后的价格计算评标基准价和投标报价。</w:t>
      </w:r>
    </w:p>
    <w:p>
      <w:pPr>
        <w:pStyle w:val="18"/>
        <w:keepNext w:val="0"/>
        <w:keepLines w:val="0"/>
        <w:pageBreakBefore w:val="0"/>
        <w:widowControl/>
        <w:kinsoku/>
        <w:wordWrap/>
        <w:overflowPunct/>
        <w:topLinePunct w:val="0"/>
        <w:bidi w:val="0"/>
        <w:spacing w:line="400" w:lineRule="exact"/>
        <w:ind w:left="0" w:right="0" w:firstLine="480"/>
        <w:textAlignment w:val="auto"/>
        <w:rPr>
          <w:rFonts w:ascii="宋体" w:hAnsi="宋体" w:cs="宋体"/>
          <w:color w:val="auto"/>
          <w:highlight w:val="none"/>
        </w:rPr>
      </w:pPr>
      <w:r>
        <w:rPr>
          <w:rFonts w:ascii="Calibri" w:hAnsi="Calibri" w:cs="Calibri"/>
          <w:color w:val="auto"/>
          <w:highlight w:val="none"/>
        </w:rPr>
        <w:t>b.</w:t>
      </w:r>
      <w:r>
        <w:rPr>
          <w:rFonts w:hint="eastAsia" w:ascii="宋体" w:hAnsi="宋体" w:cs="宋体"/>
          <w:color w:val="auto"/>
          <w:highlight w:val="none"/>
        </w:rPr>
        <w:t>价格扣除的规则如下：</w:t>
      </w:r>
    </w:p>
    <w:p>
      <w:pPr>
        <w:keepNext w:val="0"/>
        <w:keepLines w:val="0"/>
        <w:pageBreakBefore w:val="0"/>
        <w:kinsoku/>
        <w:wordWrap/>
        <w:overflowPunct/>
        <w:topLinePunct w:val="0"/>
        <w:bidi w:val="0"/>
        <w:spacing w:line="400" w:lineRule="exact"/>
        <w:ind w:left="0" w:right="0"/>
        <w:textAlignment w:val="auto"/>
        <w:rPr>
          <w:rFonts w:ascii="宋体" w:hAnsi="宋体" w:cs="宋体"/>
          <w:color w:val="auto"/>
          <w:sz w:val="24"/>
          <w:highlight w:val="none"/>
        </w:rPr>
      </w:pPr>
    </w:p>
    <w:p>
      <w:pPr>
        <w:pStyle w:val="7"/>
        <w:keepNext w:val="0"/>
        <w:keepLines w:val="0"/>
        <w:pageBreakBefore w:val="0"/>
        <w:kinsoku/>
        <w:wordWrap/>
        <w:overflowPunct/>
        <w:topLinePunct w:val="0"/>
        <w:bidi w:val="0"/>
        <w:spacing w:line="400" w:lineRule="exact"/>
        <w:ind w:left="0" w:right="0"/>
        <w:textAlignment w:val="auto"/>
        <w:rPr>
          <w:color w:val="auto"/>
          <w:highlight w:val="none"/>
        </w:rPr>
      </w:pPr>
      <w:r>
        <w:rPr>
          <w:rStyle w:val="25"/>
          <w:rFonts w:ascii="宋体" w:hAnsi="宋体" w:cs="宋体"/>
          <w:color w:val="auto"/>
          <w:sz w:val="24"/>
          <w:highlight w:val="none"/>
        </w:rPr>
        <w:t>    无</w:t>
      </w:r>
    </w:p>
    <w:p>
      <w:pPr>
        <w:pStyle w:val="18"/>
        <w:keepNext w:val="0"/>
        <w:keepLines w:val="0"/>
        <w:pageBreakBefore w:val="0"/>
        <w:widowControl/>
        <w:kinsoku/>
        <w:wordWrap/>
        <w:overflowPunct/>
        <w:topLinePunct w:val="0"/>
        <w:bidi w:val="0"/>
        <w:spacing w:line="400" w:lineRule="exact"/>
        <w:ind w:left="0" w:right="0" w:firstLine="480"/>
        <w:textAlignment w:val="auto"/>
        <w:rPr>
          <w:rFonts w:hint="eastAsia" w:ascii="宋体" w:hAnsi="宋体" w:cs="宋体"/>
          <w:color w:val="auto"/>
          <w:highlight w:val="none"/>
        </w:rPr>
      </w:pPr>
      <w:r>
        <w:rPr>
          <w:rFonts w:hint="eastAsia" w:ascii="宋体" w:hAnsi="宋体" w:cs="宋体"/>
          <w:color w:val="auto"/>
          <w:highlight w:val="none"/>
        </w:rPr>
        <w:t>②技术项（F2×A2）满分为55分。</w:t>
      </w:r>
    </w:p>
    <w:tbl>
      <w:tblPr>
        <w:tblStyle w:val="21"/>
        <w:tblW w:w="48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580"/>
        <w:gridCol w:w="8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评分内容</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分值</w:t>
            </w:r>
          </w:p>
        </w:tc>
        <w:tc>
          <w:tcPr>
            <w:tcW w:w="4241"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b/>
                <w:bCs/>
                <w:color w:val="auto"/>
                <w:sz w:val="24"/>
                <w:highlight w:val="none"/>
              </w:rPr>
            </w:pPr>
            <w:r>
              <w:rPr>
                <w:rFonts w:hint="eastAsia" w:asciiTheme="majorEastAsia" w:hAnsiTheme="majorEastAsia" w:eastAsiaTheme="majorEastAsia" w:cstheme="majorEastAsia"/>
                <w:b/>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技术参数响应情况</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4</w:t>
            </w:r>
            <w:r>
              <w:rPr>
                <w:rFonts w:asciiTheme="majorEastAsia" w:hAnsiTheme="majorEastAsia" w:eastAsiaTheme="majorEastAsia" w:cstheme="majorEastAsia"/>
                <w:color w:val="auto"/>
                <w:sz w:val="24"/>
                <w:highlight w:val="none"/>
              </w:rPr>
              <w:t>3</w:t>
            </w:r>
          </w:p>
        </w:tc>
        <w:tc>
          <w:tcPr>
            <w:tcW w:w="4241" w:type="pct"/>
            <w:vAlign w:val="center"/>
          </w:tcPr>
          <w:p>
            <w:pPr>
              <w:keepNext w:val="0"/>
              <w:keepLines w:val="0"/>
              <w:pageBreakBefore w:val="0"/>
              <w:widowControl/>
              <w:kinsoku/>
              <w:wordWrap/>
              <w:overflowPunct/>
              <w:topLinePunct w:val="0"/>
              <w:bidi w:val="0"/>
              <w:spacing w:line="400" w:lineRule="exact"/>
              <w:ind w:left="0" w:right="0"/>
              <w:jc w:val="left"/>
              <w:textAlignment w:val="auto"/>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评标委员会根据投标文件对招标文件的响应情况，对照判断所投设备是否满足招标文件的要求；带</w:t>
            </w:r>
            <w:r>
              <w:rPr>
                <w:rFonts w:hint="eastAsia" w:ascii="宋体" w:hAnsi="宋体" w:cs="宋体"/>
                <w:color w:val="auto"/>
                <w:sz w:val="24"/>
                <w:highlight w:val="none"/>
              </w:rPr>
              <w:t>▲</w:t>
            </w:r>
            <w:r>
              <w:rPr>
                <w:rFonts w:hint="eastAsia" w:asciiTheme="majorEastAsia" w:hAnsiTheme="majorEastAsia" w:eastAsiaTheme="majorEastAsia" w:cstheme="majorEastAsia"/>
                <w:color w:val="auto"/>
                <w:sz w:val="24"/>
                <w:highlight w:val="none"/>
              </w:rPr>
              <w:t>号的技术参数及要求为关键技术指标（必须提供证明材料包括但不限于彩页、检测报告、或网站技术资料截图），每有一项不满足的扣2分（共5项），非</w:t>
            </w:r>
            <w:r>
              <w:rPr>
                <w:rFonts w:hint="eastAsia" w:ascii="宋体" w:hAnsi="宋体" w:cs="宋体"/>
                <w:color w:val="auto"/>
                <w:sz w:val="24"/>
                <w:highlight w:val="none"/>
              </w:rPr>
              <w:t>▲</w:t>
            </w:r>
            <w:r>
              <w:rPr>
                <w:rFonts w:hint="eastAsia" w:asciiTheme="majorEastAsia" w:hAnsiTheme="majorEastAsia" w:eastAsiaTheme="majorEastAsia" w:cstheme="majorEastAsia"/>
                <w:color w:val="auto"/>
                <w:sz w:val="24"/>
                <w:highlight w:val="none"/>
              </w:rPr>
              <w:t>号的技术参数及要求每有一项不满足的扣</w:t>
            </w:r>
            <w:r>
              <w:rPr>
                <w:rFonts w:hint="eastAsia" w:asciiTheme="majorEastAsia" w:hAnsiTheme="majorEastAsia" w:eastAsiaTheme="majorEastAsia" w:cstheme="majorEastAsia"/>
                <w:color w:val="auto"/>
                <w:sz w:val="24"/>
                <w:highlight w:val="none"/>
                <w:lang w:val="en-US" w:eastAsia="zh-CN"/>
              </w:rPr>
              <w:t>0.38</w:t>
            </w:r>
            <w:r>
              <w:rPr>
                <w:rFonts w:hint="eastAsia" w:asciiTheme="majorEastAsia" w:hAnsiTheme="majorEastAsia" w:eastAsiaTheme="majorEastAsia" w:cstheme="majorEastAsia"/>
                <w:color w:val="auto"/>
                <w:sz w:val="24"/>
                <w:highlight w:val="none"/>
              </w:rPr>
              <w:t>分（共</w:t>
            </w:r>
            <w:r>
              <w:rPr>
                <w:rFonts w:hint="eastAsia" w:asciiTheme="majorEastAsia" w:hAnsiTheme="majorEastAsia" w:eastAsiaTheme="majorEastAsia" w:cstheme="majorEastAsia"/>
                <w:color w:val="auto"/>
                <w:sz w:val="24"/>
                <w:highlight w:val="none"/>
                <w:lang w:val="en-US" w:eastAsia="zh-CN"/>
              </w:rPr>
              <w:t>87</w:t>
            </w:r>
            <w:r>
              <w:rPr>
                <w:rFonts w:hint="eastAsia" w:asciiTheme="majorEastAsia" w:hAnsiTheme="majorEastAsia" w:eastAsiaTheme="majorEastAsia" w:cstheme="majorEastAsia"/>
                <w:color w:val="auto"/>
                <w:sz w:val="24"/>
                <w:highlight w:val="none"/>
              </w:rPr>
              <w:t>项）。扣完为止。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宋体" w:hAnsi="宋体" w:cs="宋体"/>
                <w:color w:val="auto"/>
                <w:sz w:val="24"/>
                <w:highlight w:val="none"/>
              </w:rPr>
              <w:t>技术方案1项目需求理解</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241" w:type="pct"/>
            <w:vAlign w:val="center"/>
          </w:tcPr>
          <w:p>
            <w:pPr>
              <w:keepNext w:val="0"/>
              <w:keepLines w:val="0"/>
              <w:pageBreakBefore w:val="0"/>
              <w:kinsoku/>
              <w:wordWrap/>
              <w:overflowPunct/>
              <w:topLinePunct w:val="0"/>
              <w:bidi w:val="0"/>
              <w:adjustRightInd w:val="0"/>
              <w:snapToGrid w:val="0"/>
              <w:spacing w:line="400" w:lineRule="exact"/>
              <w:ind w:left="0" w:right="0"/>
              <w:jc w:val="left"/>
              <w:textAlignment w:val="auto"/>
              <w:rPr>
                <w:rFonts w:hint="eastAsia" w:ascii="宋体" w:hAnsi="宋体" w:cs="宋体"/>
                <w:color w:val="auto"/>
                <w:sz w:val="24"/>
                <w:highlight w:val="none"/>
              </w:rPr>
            </w:pPr>
            <w:r>
              <w:rPr>
                <w:rFonts w:hint="eastAsia" w:ascii="宋体" w:hAnsi="宋体" w:cs="宋体"/>
                <w:color w:val="auto"/>
                <w:sz w:val="24"/>
                <w:highlight w:val="none"/>
              </w:rPr>
              <w:t>根据投标人对项目需求的理解：对项目需求的理解透彻，重点、难点、关键技术分析到位，满足招标文件要求得3分；对项目需求的理解相对透彻，重点、难点、关键技术分析覆盖到基础点，但不够详细，基本可行，得2分；对项目需求的理解不全面，重点、难点、关键技术未突出，方案可行性一般，得1分；对项目需求的理解不准确，不能实现所响应产品不满足要求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技术方案2项目实施方案</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241" w:type="pct"/>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hint="eastAsia"/>
                <w:color w:val="auto"/>
                <w:sz w:val="24"/>
                <w:highlight w:val="none"/>
              </w:rPr>
            </w:pPr>
            <w:r>
              <w:rPr>
                <w:rFonts w:hint="eastAsia"/>
                <w:color w:val="auto"/>
                <w:sz w:val="24"/>
                <w:highlight w:val="none"/>
              </w:rPr>
              <w:t>根据投标人对招标文件的理解编制实施方案，实施方案措施详细、完善、进度合理、满足采购需求得3分；实施方案基本详细完善、进度基本合理、基本满足采购需求得2分；实施方案措施不详细、有缺陷的，进度不合理得1分；实施方案不能满足采购需要或未提供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rPr>
            </w:pPr>
            <w:r>
              <w:rPr>
                <w:rFonts w:hint="eastAsia" w:ascii="宋体" w:hAnsi="宋体" w:cs="宋体"/>
                <w:color w:val="auto"/>
                <w:sz w:val="24"/>
                <w:highlight w:val="none"/>
              </w:rPr>
              <w:t>技术方案3项目</w:t>
            </w:r>
            <w:r>
              <w:rPr>
                <w:rFonts w:hint="eastAsia"/>
                <w:color w:val="auto"/>
                <w:sz w:val="24"/>
                <w:highlight w:val="none"/>
              </w:rPr>
              <w:t>实施进度计划</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3</w:t>
            </w:r>
          </w:p>
        </w:tc>
        <w:tc>
          <w:tcPr>
            <w:tcW w:w="4241" w:type="pct"/>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hint="eastAsia"/>
                <w:color w:val="auto"/>
                <w:sz w:val="24"/>
                <w:highlight w:val="none"/>
              </w:rPr>
            </w:pPr>
            <w:r>
              <w:rPr>
                <w:color w:val="auto"/>
                <w:sz w:val="24"/>
                <w:highlight w:val="none"/>
                <w:lang w:bidi="ar"/>
              </w:rPr>
              <w:t>根据各投标人按照招标文件规定的工期，编制施工进度计划，</w:t>
            </w:r>
            <w:r>
              <w:rPr>
                <w:rFonts w:hint="eastAsia"/>
                <w:color w:val="auto"/>
                <w:sz w:val="24"/>
                <w:highlight w:val="none"/>
              </w:rPr>
              <w:t>实施进度计划详细、完善、进度合理、满足采购需求得</w:t>
            </w:r>
            <w:r>
              <w:rPr>
                <w:rFonts w:hint="eastAsia"/>
                <w:color w:val="auto"/>
                <w:sz w:val="24"/>
                <w:highlight w:val="none"/>
                <w:lang w:val="en-US" w:eastAsia="zh-CN"/>
              </w:rPr>
              <w:t>3</w:t>
            </w:r>
            <w:r>
              <w:rPr>
                <w:rFonts w:hint="eastAsia"/>
                <w:color w:val="auto"/>
                <w:sz w:val="24"/>
                <w:highlight w:val="none"/>
              </w:rPr>
              <w:t>分；实施进度计划基本详细完善、进度基本合理、基本满足采购需求得</w:t>
            </w:r>
            <w:r>
              <w:rPr>
                <w:rFonts w:hint="eastAsia"/>
                <w:color w:val="auto"/>
                <w:sz w:val="24"/>
                <w:highlight w:val="none"/>
                <w:lang w:val="en-US" w:eastAsia="zh-CN"/>
              </w:rPr>
              <w:t>2</w:t>
            </w:r>
            <w:r>
              <w:rPr>
                <w:rFonts w:hint="eastAsia"/>
                <w:color w:val="auto"/>
                <w:sz w:val="24"/>
                <w:highlight w:val="none"/>
              </w:rPr>
              <w:t xml:space="preserve">分；实施进度计划措施不详细、有缺陷的，进度不合理得1分；实施进度计划不能满足采购需要或未提供方案的，得0分。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rPr>
            </w:pPr>
            <w:r>
              <w:rPr>
                <w:rFonts w:hint="eastAsia" w:ascii="宋体" w:hAnsi="宋体" w:cs="宋体"/>
                <w:color w:val="auto"/>
                <w:sz w:val="24"/>
                <w:highlight w:val="none"/>
              </w:rPr>
              <w:t>技术方案4</w:t>
            </w:r>
            <w:r>
              <w:rPr>
                <w:rFonts w:hint="eastAsia"/>
                <w:color w:val="auto"/>
                <w:sz w:val="24"/>
                <w:highlight w:val="none"/>
              </w:rPr>
              <w:t>项目应急方案</w:t>
            </w:r>
          </w:p>
        </w:tc>
        <w:tc>
          <w:tcPr>
            <w:tcW w:w="304" w:type="pct"/>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rPr>
              <w:t>3</w:t>
            </w:r>
          </w:p>
        </w:tc>
        <w:tc>
          <w:tcPr>
            <w:tcW w:w="4241" w:type="pct"/>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hint="eastAsia"/>
                <w:color w:val="auto"/>
                <w:sz w:val="24"/>
                <w:highlight w:val="none"/>
              </w:rPr>
            </w:pPr>
            <w:r>
              <w:rPr>
                <w:rFonts w:hint="eastAsia"/>
                <w:color w:val="auto"/>
                <w:sz w:val="24"/>
                <w:highlight w:val="none"/>
              </w:rPr>
              <w:t>根据投标人对出现故障时应急响应方案，方案详细、完善、响应速度快、处理及时得3分，方案基本详细、完善、响应速度较快得2分，方案不详细、响应速度慢得1分，不能满足采购需要或未提供方案的，得0分。</w:t>
            </w:r>
          </w:p>
        </w:tc>
      </w:tr>
    </w:tbl>
    <w:p>
      <w:pPr>
        <w:keepNext w:val="0"/>
        <w:keepLines w:val="0"/>
        <w:pageBreakBefore w:val="0"/>
        <w:kinsoku/>
        <w:wordWrap/>
        <w:overflowPunct/>
        <w:topLinePunct w:val="0"/>
        <w:bidi w:val="0"/>
        <w:spacing w:line="400" w:lineRule="exact"/>
        <w:ind w:left="0" w:right="0"/>
        <w:textAlignment w:val="auto"/>
        <w:rPr>
          <w:rFonts w:asciiTheme="minorEastAsia" w:hAnsiTheme="minorEastAsia" w:cstheme="minorEastAsia"/>
          <w:color w:val="auto"/>
          <w:szCs w:val="21"/>
          <w:highlight w:val="none"/>
        </w:rPr>
      </w:pPr>
    </w:p>
    <w:p>
      <w:pPr>
        <w:pStyle w:val="18"/>
        <w:keepNext w:val="0"/>
        <w:keepLines w:val="0"/>
        <w:pageBreakBefore w:val="0"/>
        <w:widowControl/>
        <w:numPr>
          <w:ilvl w:val="0"/>
          <w:numId w:val="1"/>
        </w:numPr>
        <w:kinsoku/>
        <w:wordWrap/>
        <w:overflowPunct/>
        <w:topLinePunct w:val="0"/>
        <w:bidi w:val="0"/>
        <w:spacing w:line="400" w:lineRule="exact"/>
        <w:ind w:left="0" w:right="0"/>
        <w:textAlignment w:val="auto"/>
        <w:rPr>
          <w:rFonts w:asciiTheme="minorEastAsia" w:hAnsiTheme="minorEastAsia" w:cstheme="minorEastAsia"/>
          <w:color w:val="auto"/>
          <w:highlight w:val="none"/>
        </w:rPr>
      </w:pPr>
      <w:r>
        <w:rPr>
          <w:rFonts w:hint="eastAsia" w:asciiTheme="minorEastAsia" w:hAnsiTheme="minorEastAsia" w:cstheme="minorEastAsia"/>
          <w:color w:val="auto"/>
          <w:highlight w:val="none"/>
        </w:rPr>
        <w:t>商务项（F3×A3）满分为</w:t>
      </w:r>
      <w:r>
        <w:rPr>
          <w:rFonts w:hint="eastAsia" w:asciiTheme="minorEastAsia" w:hAnsiTheme="minorEastAsia" w:cstheme="minorEastAsia"/>
          <w:color w:val="auto"/>
          <w:highlight w:val="none"/>
          <w:u w:val="single"/>
        </w:rPr>
        <w:t>15</w:t>
      </w:r>
      <w:r>
        <w:rPr>
          <w:rFonts w:hint="eastAsia" w:asciiTheme="minorEastAsia" w:hAnsiTheme="minorEastAsia" w:cstheme="minorEastAsia"/>
          <w:color w:val="auto"/>
          <w:highlight w:val="none"/>
        </w:rPr>
        <w:t>分。</w:t>
      </w:r>
    </w:p>
    <w:tbl>
      <w:tblPr>
        <w:tblStyle w:val="21"/>
        <w:tblW w:w="9608" w:type="dxa"/>
        <w:tblCellSpacing w:w="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5"/>
        <w:gridCol w:w="628"/>
        <w:gridCol w:w="8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695" w:type="dxa"/>
            <w:tcBorders>
              <w:tl2br w:val="nil"/>
              <w:tr2bl w:val="nil"/>
            </w:tcBorders>
            <w:vAlign w:val="center"/>
          </w:tcPr>
          <w:p>
            <w:pPr>
              <w:keepNext w:val="0"/>
              <w:keepLines w:val="0"/>
              <w:pageBreakBefore w:val="0"/>
              <w:widowControl/>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评标项目</w:t>
            </w:r>
          </w:p>
        </w:tc>
        <w:tc>
          <w:tcPr>
            <w:tcW w:w="628" w:type="dxa"/>
            <w:tcBorders>
              <w:tl2br w:val="nil"/>
              <w:tr2bl w:val="nil"/>
            </w:tcBorders>
            <w:vAlign w:val="center"/>
          </w:tcPr>
          <w:p>
            <w:pPr>
              <w:keepNext w:val="0"/>
              <w:keepLines w:val="0"/>
              <w:pageBreakBefore w:val="0"/>
              <w:widowControl/>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评标分值</w:t>
            </w:r>
          </w:p>
        </w:tc>
        <w:tc>
          <w:tcPr>
            <w:tcW w:w="8285" w:type="dxa"/>
            <w:tcBorders>
              <w:tl2br w:val="nil"/>
              <w:tr2bl w:val="nil"/>
            </w:tcBorders>
            <w:vAlign w:val="center"/>
          </w:tcPr>
          <w:p>
            <w:pPr>
              <w:keepNext w:val="0"/>
              <w:keepLines w:val="0"/>
              <w:pageBreakBefore w:val="0"/>
              <w:widowControl/>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业绩</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kern w:val="0"/>
                <w:sz w:val="24"/>
                <w:highlight w:val="none"/>
              </w:rPr>
            </w:pPr>
            <w:r>
              <w:rPr>
                <w:rFonts w:asciiTheme="majorEastAsia" w:hAnsiTheme="majorEastAsia" w:eastAsiaTheme="majorEastAsia" w:cstheme="majorEastAsia"/>
                <w:color w:val="auto"/>
                <w:sz w:val="24"/>
                <w:highlight w:val="none"/>
              </w:rPr>
              <w:t>3</w:t>
            </w:r>
          </w:p>
        </w:tc>
        <w:tc>
          <w:tcPr>
            <w:tcW w:w="8285" w:type="dxa"/>
            <w:tcBorders>
              <w:tl2br w:val="nil"/>
              <w:tr2bl w:val="nil"/>
            </w:tcBorders>
          </w:tcPr>
          <w:p>
            <w:pPr>
              <w:keepNext w:val="0"/>
              <w:keepLines w:val="0"/>
              <w:pageBreakBefore w:val="0"/>
              <w:kinsoku/>
              <w:wordWrap/>
              <w:overflowPunct/>
              <w:topLinePunct w:val="0"/>
              <w:bidi w:val="0"/>
              <w:spacing w:line="400" w:lineRule="exact"/>
              <w:ind w:left="0" w:right="0"/>
              <w:jc w:val="left"/>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2019年1月1日以来（以合同签订日期为准）所拥有类似政府采购项目业绩，须提供完整业绩证明文件，提供1份得1分，最高得</w:t>
            </w:r>
            <w:r>
              <w:rPr>
                <w:rFonts w:asciiTheme="majorEastAsia" w:hAnsiTheme="majorEastAsia" w:eastAsiaTheme="majorEastAsia" w:cstheme="majorEastAsia"/>
                <w:color w:val="auto"/>
                <w:sz w:val="24"/>
                <w:highlight w:val="none"/>
              </w:rPr>
              <w:t>3</w:t>
            </w:r>
            <w:r>
              <w:rPr>
                <w:rFonts w:hint="eastAsia" w:asciiTheme="majorEastAsia" w:hAnsiTheme="majorEastAsia" w:eastAsiaTheme="majorEastAsia" w:cstheme="majorEastAsia"/>
                <w:color w:val="auto"/>
                <w:sz w:val="24"/>
                <w:highlight w:val="none"/>
              </w:rPr>
              <w:t>分。</w:t>
            </w:r>
          </w:p>
          <w:p>
            <w:pPr>
              <w:keepNext w:val="0"/>
              <w:keepLines w:val="0"/>
              <w:pageBreakBefore w:val="0"/>
              <w:kinsoku/>
              <w:wordWrap/>
              <w:overflowPunct/>
              <w:topLinePunct w:val="0"/>
              <w:bidi w:val="0"/>
              <w:spacing w:line="400" w:lineRule="exact"/>
              <w:ind w:left="0" w:right="0"/>
              <w:jc w:val="left"/>
              <w:textAlignment w:val="auto"/>
              <w:rPr>
                <w:rFonts w:asciiTheme="majorEastAsia" w:hAnsiTheme="majorEastAsia" w:eastAsiaTheme="majorEastAsia" w:cstheme="majorEastAsia"/>
                <w:color w:val="auto"/>
                <w:kern w:val="0"/>
                <w:sz w:val="24"/>
                <w:highlight w:val="none"/>
              </w:rPr>
            </w:pPr>
            <w:r>
              <w:rPr>
                <w:rFonts w:ascii="宋体" w:hAnsi="宋体" w:cs="宋体"/>
                <w:color w:val="auto"/>
                <w:kern w:val="0"/>
                <w:sz w:val="24"/>
                <w:highlight w:val="none"/>
                <w:lang w:bidi="ar"/>
              </w:rPr>
              <w:t>注：须提供相关网站中标公告的下载网页并注明网址、中标通知书复印件、采购合同文本复印件，以及能够证明该业绩项目已经采购人验收合格的证明文件复印件（原件备查）。所提供文件如不完整或所提供的证明材料前后不对应或不齐全的不得分；如提供虚假业绩，经核实，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kern w:val="0"/>
                <w:sz w:val="24"/>
                <w:highlight w:val="none"/>
              </w:rPr>
            </w:pPr>
            <w:r>
              <w:rPr>
                <w:rFonts w:hint="eastAsia" w:asciiTheme="majorEastAsia" w:hAnsiTheme="majorEastAsia" w:eastAsiaTheme="majorEastAsia" w:cstheme="majorEastAsia"/>
                <w:color w:val="auto"/>
                <w:sz w:val="24"/>
                <w:highlight w:val="none"/>
              </w:rPr>
              <w:t>售后服务1</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kern w:val="0"/>
                <w:sz w:val="24"/>
                <w:highlight w:val="none"/>
              </w:rPr>
            </w:pPr>
            <w:r>
              <w:rPr>
                <w:rFonts w:asciiTheme="majorEastAsia" w:hAnsiTheme="majorEastAsia" w:eastAsiaTheme="majorEastAsia" w:cstheme="majorEastAsia"/>
                <w:color w:val="auto"/>
                <w:sz w:val="24"/>
                <w:highlight w:val="none"/>
              </w:rPr>
              <w:t>3</w:t>
            </w:r>
          </w:p>
        </w:tc>
        <w:tc>
          <w:tcPr>
            <w:tcW w:w="8285" w:type="dxa"/>
            <w:tcBorders>
              <w:tl2br w:val="nil"/>
              <w:tr2bl w:val="nil"/>
            </w:tcBorders>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2"/>
                <w:sz w:val="24"/>
                <w:highlight w:val="none"/>
              </w:rPr>
              <w:t>依据供应商提供的售后服务方案（</w:t>
            </w:r>
            <w:r>
              <w:rPr>
                <w:rFonts w:hint="eastAsia"/>
                <w:color w:val="auto"/>
                <w:sz w:val="24"/>
                <w:highlight w:val="none"/>
              </w:rPr>
              <w:t>包括但不限于售后服务方式、售后服务组织机构、</w:t>
            </w:r>
            <w:r>
              <w:rPr>
                <w:rFonts w:hint="eastAsia" w:asciiTheme="majorEastAsia" w:hAnsiTheme="majorEastAsia" w:eastAsiaTheme="majorEastAsia" w:cstheme="majorEastAsia"/>
                <w:color w:val="auto"/>
                <w:spacing w:val="-12"/>
                <w:sz w:val="24"/>
                <w:highlight w:val="none"/>
              </w:rPr>
              <w:t>维护、</w:t>
            </w:r>
            <w:r>
              <w:rPr>
                <w:rFonts w:hint="eastAsia" w:asciiTheme="majorEastAsia" w:hAnsiTheme="majorEastAsia" w:eastAsiaTheme="majorEastAsia" w:cstheme="majorEastAsia"/>
                <w:color w:val="auto"/>
                <w:sz w:val="24"/>
                <w:highlight w:val="none"/>
              </w:rPr>
              <w:t>应急响应速度及措施，质保时间、范围</w:t>
            </w:r>
            <w:r>
              <w:rPr>
                <w:rFonts w:hint="eastAsia"/>
                <w:color w:val="auto"/>
                <w:sz w:val="24"/>
                <w:highlight w:val="none"/>
              </w:rPr>
              <w:t>等内容）售后服务方案详细、全面、合理、可操作性强，计</w:t>
            </w:r>
            <w:r>
              <w:rPr>
                <w:color w:val="auto"/>
                <w:sz w:val="24"/>
                <w:highlight w:val="none"/>
              </w:rPr>
              <w:t>3</w:t>
            </w:r>
            <w:r>
              <w:rPr>
                <w:rFonts w:hint="eastAsia"/>
                <w:color w:val="auto"/>
                <w:sz w:val="24"/>
                <w:highlight w:val="none"/>
              </w:rPr>
              <w:t>分；售后服务方案基本合理、较全面、可操作性较强，计</w:t>
            </w:r>
            <w:r>
              <w:rPr>
                <w:color w:val="auto"/>
                <w:sz w:val="24"/>
                <w:highlight w:val="none"/>
              </w:rPr>
              <w:t>2</w:t>
            </w:r>
            <w:r>
              <w:rPr>
                <w:rFonts w:hint="eastAsia"/>
                <w:color w:val="auto"/>
                <w:sz w:val="24"/>
                <w:highlight w:val="none"/>
              </w:rPr>
              <w:t>分；售后服务方案不全面、不合理，计</w:t>
            </w:r>
            <w:r>
              <w:rPr>
                <w:color w:val="auto"/>
                <w:sz w:val="24"/>
                <w:highlight w:val="none"/>
              </w:rPr>
              <w:t>1</w:t>
            </w:r>
            <w:r>
              <w:rPr>
                <w:rFonts w:hint="eastAsia"/>
                <w:color w:val="auto"/>
                <w:sz w:val="24"/>
                <w:highlight w:val="none"/>
              </w:rPr>
              <w:t>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售后服务2</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asciiTheme="majorEastAsia" w:hAnsiTheme="majorEastAsia" w:eastAsiaTheme="majorEastAsia" w:cstheme="majorEastAsia"/>
                <w:color w:val="auto"/>
                <w:sz w:val="24"/>
                <w:highlight w:val="none"/>
              </w:rPr>
              <w:t>3</w:t>
            </w:r>
          </w:p>
        </w:tc>
        <w:tc>
          <w:tcPr>
            <w:tcW w:w="8285" w:type="dxa"/>
            <w:tcBorders>
              <w:tl2br w:val="nil"/>
              <w:tr2bl w:val="nil"/>
            </w:tcBorders>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pacing w:val="-1"/>
                <w:sz w:val="24"/>
                <w:highlight w:val="none"/>
              </w:rPr>
              <w:t>依据供应商提供的培训方案。包括培训计划、培训时间、培训内容等，</w:t>
            </w:r>
            <w:r>
              <w:rPr>
                <w:rFonts w:hint="eastAsia"/>
                <w:color w:val="auto"/>
                <w:sz w:val="24"/>
                <w:highlight w:val="none"/>
              </w:rPr>
              <w:t>技术培训方案详细、全面、合理、可操作性强，计</w:t>
            </w:r>
            <w:r>
              <w:rPr>
                <w:color w:val="auto"/>
                <w:sz w:val="24"/>
                <w:highlight w:val="none"/>
              </w:rPr>
              <w:t>3</w:t>
            </w:r>
            <w:r>
              <w:rPr>
                <w:rFonts w:hint="eastAsia"/>
                <w:color w:val="auto"/>
                <w:sz w:val="24"/>
                <w:highlight w:val="none"/>
              </w:rPr>
              <w:t>分；技术培训方案基本合理、较全面、可操作性较强，计</w:t>
            </w:r>
            <w:r>
              <w:rPr>
                <w:color w:val="auto"/>
                <w:sz w:val="24"/>
                <w:highlight w:val="none"/>
              </w:rPr>
              <w:t>2</w:t>
            </w:r>
            <w:r>
              <w:rPr>
                <w:rFonts w:hint="eastAsia"/>
                <w:color w:val="auto"/>
                <w:sz w:val="24"/>
                <w:highlight w:val="none"/>
              </w:rPr>
              <w:t>分；技术培训方案不全面、不合理，计1分；未提供不计分。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4"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ascii="宋体" w:hAnsi="宋体" w:cs="宋体"/>
                <w:color w:val="auto"/>
                <w:kern w:val="0"/>
                <w:sz w:val="24"/>
                <w:highlight w:val="none"/>
                <w:lang w:bidi="ar"/>
              </w:rPr>
              <w:t>质量保障能力</w:t>
            </w:r>
            <w:r>
              <w:rPr>
                <w:rFonts w:hint="eastAsia" w:ascii="宋体" w:hAnsi="宋体" w:cs="宋体"/>
                <w:color w:val="auto"/>
                <w:kern w:val="0"/>
                <w:sz w:val="24"/>
                <w:highlight w:val="none"/>
                <w:lang w:bidi="ar"/>
              </w:rPr>
              <w:t>1</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8285" w:type="dxa"/>
            <w:tcBorders>
              <w:tl2br w:val="nil"/>
              <w:tr2bl w:val="nil"/>
            </w:tcBorders>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投标人具备ISO20000信息技术服务管理体系标准认证得1分，</w:t>
            </w:r>
            <w:r>
              <w:rPr>
                <w:color w:val="auto"/>
                <w:sz w:val="24"/>
                <w:highlight w:val="none"/>
                <w:lang w:bidi="ar"/>
              </w:rPr>
              <w:t>需提供有效证书复印件并加盖投标人公章，未提供不得分</w:t>
            </w:r>
            <w:r>
              <w:rPr>
                <w:rFonts w:hint="eastAsia"/>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3"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ascii="宋体" w:hAnsi="宋体" w:cs="宋体"/>
                <w:color w:val="auto"/>
                <w:kern w:val="0"/>
                <w:sz w:val="24"/>
                <w:highlight w:val="none"/>
                <w:lang w:bidi="ar"/>
              </w:rPr>
              <w:t>质量保障能力</w:t>
            </w:r>
            <w:r>
              <w:rPr>
                <w:rFonts w:hint="eastAsia" w:ascii="宋体" w:hAnsi="宋体" w:cs="宋体"/>
                <w:color w:val="auto"/>
                <w:kern w:val="0"/>
                <w:sz w:val="24"/>
                <w:highlight w:val="none"/>
                <w:lang w:bidi="ar"/>
              </w:rPr>
              <w:t>2</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8285" w:type="dxa"/>
            <w:tcBorders>
              <w:tl2br w:val="nil"/>
              <w:tr2bl w:val="nil"/>
            </w:tcBorders>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投标人项目经理具有项目管理PMP认证证书1分，</w:t>
            </w:r>
            <w:r>
              <w:rPr>
                <w:color w:val="auto"/>
                <w:sz w:val="24"/>
                <w:highlight w:val="none"/>
                <w:lang w:bidi="ar"/>
              </w:rPr>
              <w:t>需提供有效证书复印件并加盖投标人公章，未提供不得分</w:t>
            </w:r>
            <w:r>
              <w:rPr>
                <w:rFonts w:hint="eastAsia"/>
                <w:color w:val="auto"/>
                <w:sz w:val="24"/>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ascii="宋体" w:hAnsi="宋体" w:cs="宋体"/>
                <w:color w:val="auto"/>
                <w:kern w:val="0"/>
                <w:sz w:val="24"/>
                <w:highlight w:val="none"/>
                <w:lang w:bidi="ar"/>
              </w:rPr>
              <w:t>质量保障能力</w:t>
            </w:r>
            <w:r>
              <w:rPr>
                <w:rFonts w:hint="eastAsia" w:ascii="宋体" w:hAnsi="宋体" w:cs="宋体"/>
                <w:color w:val="auto"/>
                <w:kern w:val="0"/>
                <w:sz w:val="24"/>
                <w:highlight w:val="none"/>
                <w:lang w:bidi="ar"/>
              </w:rPr>
              <w:t>3</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1</w:t>
            </w:r>
          </w:p>
        </w:tc>
        <w:tc>
          <w:tcPr>
            <w:tcW w:w="8285" w:type="dxa"/>
            <w:tcBorders>
              <w:tl2br w:val="nil"/>
              <w:tr2bl w:val="nil"/>
            </w:tcBorders>
            <w:vAlign w:val="center"/>
          </w:tcPr>
          <w:p>
            <w:pPr>
              <w:pStyle w:val="94"/>
              <w:keepNext w:val="0"/>
              <w:keepLines w:val="0"/>
              <w:pageBreakBefore w:val="0"/>
              <w:kinsoku/>
              <w:wordWrap/>
              <w:overflowPunct/>
              <w:topLinePunct w:val="0"/>
              <w:bidi w:val="0"/>
              <w:adjustRightInd w:val="0"/>
              <w:snapToGrid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投标人具有信息安全服务资质认证证书得1分，</w:t>
            </w:r>
            <w:r>
              <w:rPr>
                <w:color w:val="auto"/>
                <w:sz w:val="24"/>
                <w:highlight w:val="none"/>
                <w:lang w:bidi="ar"/>
              </w:rPr>
              <w:t>需提供有效证书复印件并加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 w:hRule="atLeast"/>
          <w:tblCellSpacing w:w="0" w:type="dxa"/>
        </w:trPr>
        <w:tc>
          <w:tcPr>
            <w:tcW w:w="695"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本地化服务</w:t>
            </w:r>
          </w:p>
        </w:tc>
        <w:tc>
          <w:tcPr>
            <w:tcW w:w="628" w:type="dxa"/>
            <w:tcBorders>
              <w:tl2br w:val="nil"/>
              <w:tr2bl w:val="nil"/>
            </w:tcBorders>
            <w:vAlign w:val="center"/>
          </w:tcPr>
          <w:p>
            <w:pPr>
              <w:keepNext w:val="0"/>
              <w:keepLines w:val="0"/>
              <w:pageBreakBefore w:val="0"/>
              <w:kinsoku/>
              <w:wordWrap/>
              <w:overflowPunct/>
              <w:topLinePunct w:val="0"/>
              <w:bidi w:val="0"/>
              <w:spacing w:line="400" w:lineRule="exact"/>
              <w:ind w:left="0" w:right="0"/>
              <w:jc w:val="center"/>
              <w:textAlignment w:val="auto"/>
              <w:rPr>
                <w:rFonts w:hint="eastAsia" w:asciiTheme="majorEastAsia" w:hAnsiTheme="majorEastAsia" w:eastAsiaTheme="majorEastAsia" w:cstheme="majorEastAsia"/>
                <w:color w:val="auto"/>
                <w:sz w:val="24"/>
                <w:highlight w:val="none"/>
                <w:lang w:val="en-US" w:eastAsia="zh-CN"/>
              </w:rPr>
            </w:pPr>
            <w:r>
              <w:rPr>
                <w:rFonts w:hint="eastAsia" w:asciiTheme="majorEastAsia" w:hAnsiTheme="majorEastAsia" w:eastAsiaTheme="majorEastAsia" w:cstheme="majorEastAsia"/>
                <w:color w:val="auto"/>
                <w:sz w:val="24"/>
                <w:highlight w:val="none"/>
                <w:lang w:val="en-US" w:eastAsia="zh-CN"/>
              </w:rPr>
              <w:t>3</w:t>
            </w:r>
          </w:p>
        </w:tc>
        <w:tc>
          <w:tcPr>
            <w:tcW w:w="8285" w:type="dxa"/>
            <w:tcBorders>
              <w:tl2br w:val="nil"/>
              <w:tr2bl w:val="nil"/>
            </w:tcBorders>
            <w:vAlign w:val="center"/>
          </w:tcPr>
          <w:p>
            <w:pPr>
              <w:keepNext w:val="0"/>
              <w:keepLines w:val="0"/>
              <w:pageBreakBefore w:val="0"/>
              <w:kinsoku/>
              <w:wordWrap/>
              <w:overflowPunct/>
              <w:topLinePunct w:val="0"/>
              <w:bidi w:val="0"/>
              <w:spacing w:line="400" w:lineRule="exact"/>
              <w:ind w:left="0" w:right="0"/>
              <w:textAlignment w:val="auto"/>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sz w:val="24"/>
                <w:highlight w:val="none"/>
              </w:rPr>
              <w:t>投标人在项目所在地省内具有服务机构，能快速响应，提供服务机构营业执照及至少2名技术人员社保缴纳证明得</w:t>
            </w:r>
            <w:r>
              <w:rPr>
                <w:rFonts w:hint="eastAsia" w:asciiTheme="majorEastAsia" w:hAnsiTheme="majorEastAsia" w:eastAsiaTheme="majorEastAsia" w:cstheme="majorEastAsia"/>
                <w:color w:val="auto"/>
                <w:sz w:val="24"/>
                <w:highlight w:val="none"/>
                <w:lang w:val="en-US" w:eastAsia="zh-CN"/>
              </w:rPr>
              <w:t>3</w:t>
            </w:r>
            <w:r>
              <w:rPr>
                <w:rFonts w:hint="eastAsia" w:asciiTheme="majorEastAsia" w:hAnsiTheme="majorEastAsia" w:eastAsiaTheme="majorEastAsia" w:cstheme="majorEastAsia"/>
                <w:color w:val="auto"/>
                <w:sz w:val="24"/>
                <w:highlight w:val="none"/>
              </w:rPr>
              <w:t>分，需提供服务机构相关证明材料及技术人员近6个月内任一个月的社保缴纳证明材料，未提供及提供不全不得分。</w:t>
            </w:r>
          </w:p>
        </w:tc>
      </w:tr>
    </w:tbl>
    <w:p>
      <w:pPr>
        <w:keepNext w:val="0"/>
        <w:keepLines w:val="0"/>
        <w:pageBreakBefore w:val="0"/>
        <w:widowControl/>
        <w:kinsoku/>
        <w:wordWrap/>
        <w:overflowPunct/>
        <w:topLinePunct w:val="0"/>
        <w:bidi w:val="0"/>
        <w:spacing w:line="400" w:lineRule="exact"/>
        <w:ind w:left="0" w:right="0"/>
        <w:jc w:val="left"/>
        <w:textAlignment w:val="auto"/>
        <w:rPr>
          <w:rFonts w:ascii="宋体" w:hAnsi="宋体" w:cs="宋体"/>
          <w:color w:val="auto"/>
          <w:kern w:val="0"/>
          <w:sz w:val="24"/>
          <w:highlight w:val="none"/>
        </w:rPr>
      </w:pP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④加分项（</w:t>
      </w:r>
      <w:r>
        <w:rPr>
          <w:rFonts w:ascii="Calibri" w:hAnsi="Calibri" w:cs="Calibri"/>
          <w:color w:val="auto"/>
          <w:highlight w:val="none"/>
        </w:rPr>
        <w:t>F4</w:t>
      </w:r>
      <w:r>
        <w:rPr>
          <w:rFonts w:hint="eastAsia" w:ascii="宋体" w:hAnsi="宋体" w:cs="宋体"/>
          <w:color w:val="auto"/>
          <w:highlight w:val="none"/>
        </w:rPr>
        <w:t>×</w:t>
      </w:r>
      <w:r>
        <w:rPr>
          <w:rFonts w:ascii="Calibri" w:hAnsi="Calibri" w:cs="Calibri"/>
          <w:color w:val="auto"/>
          <w:highlight w:val="none"/>
        </w:rPr>
        <w:t>A4</w:t>
      </w:r>
      <w:r>
        <w:rPr>
          <w:rFonts w:hint="eastAsia" w:ascii="宋体" w:hAnsi="宋体" w:cs="宋体"/>
          <w:color w:val="auto"/>
          <w:highlight w:val="none"/>
        </w:rPr>
        <w:t>）</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a.优先类节能产品、环境标志产品：</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a1若同一采购包内节能、环境标志产品报价总金额低于该采购包报价总金额</w:t>
      </w:r>
      <w:r>
        <w:rPr>
          <w:rFonts w:ascii="Calibri" w:hAnsi="Calibri" w:cs="Calibri"/>
          <w:color w:val="auto"/>
          <w:highlight w:val="none"/>
        </w:rPr>
        <w:t>20%</w:t>
      </w:r>
      <w:r>
        <w:rPr>
          <w:rFonts w:hint="eastAsia" w:ascii="宋体" w:hAnsi="宋体" w:cs="宋体"/>
          <w:color w:val="auto"/>
          <w:highlight w:val="none"/>
        </w:rPr>
        <w:t>（含</w:t>
      </w:r>
      <w:r>
        <w:rPr>
          <w:rFonts w:ascii="Calibri" w:hAnsi="Calibri" w:cs="Calibri"/>
          <w:color w:val="auto"/>
          <w:highlight w:val="none"/>
        </w:rPr>
        <w:t>20%</w:t>
      </w:r>
      <w:r>
        <w:rPr>
          <w:rFonts w:hint="eastAsia" w:ascii="宋体" w:hAnsi="宋体" w:cs="宋体"/>
          <w:color w:val="auto"/>
          <w:highlight w:val="none"/>
        </w:rPr>
        <w:t>）以下，将分别给予节能、环境标志产品价格项（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4%</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20%-50%</w:t>
      </w:r>
      <w:r>
        <w:rPr>
          <w:rFonts w:hint="eastAsia" w:ascii="宋体" w:hAnsi="宋体" w:cs="宋体"/>
          <w:color w:val="auto"/>
          <w:highlight w:val="none"/>
        </w:rPr>
        <w:t>（含</w:t>
      </w:r>
      <w:r>
        <w:rPr>
          <w:rFonts w:ascii="Calibri" w:hAnsi="Calibri" w:cs="Calibri"/>
          <w:color w:val="auto"/>
          <w:highlight w:val="none"/>
        </w:rPr>
        <w:t>50%</w:t>
      </w:r>
      <w:r>
        <w:rPr>
          <w:rFonts w:hint="eastAsia" w:ascii="宋体" w:hAnsi="宋体" w:cs="宋体"/>
          <w:color w:val="auto"/>
          <w:highlight w:val="none"/>
        </w:rPr>
        <w:t>），将分别给予节能、环境标志产品价格项（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6%</w:t>
      </w:r>
      <w:r>
        <w:rPr>
          <w:rFonts w:hint="eastAsia" w:ascii="宋体" w:hAnsi="宋体" w:cs="宋体"/>
          <w:color w:val="auto"/>
          <w:highlight w:val="none"/>
        </w:rPr>
        <w:t>的加分；若同一采购包内节能、环境标志产品报价总金额占该采购包报价总金额</w:t>
      </w:r>
      <w:r>
        <w:rPr>
          <w:rFonts w:ascii="Calibri" w:hAnsi="Calibri" w:cs="Calibri"/>
          <w:color w:val="auto"/>
          <w:highlight w:val="none"/>
        </w:rPr>
        <w:t>50%</w:t>
      </w:r>
      <w:r>
        <w:rPr>
          <w:rFonts w:hint="eastAsia" w:ascii="宋体" w:hAnsi="宋体" w:cs="宋体"/>
          <w:color w:val="auto"/>
          <w:highlight w:val="none"/>
        </w:rPr>
        <w:t>以上的，将分别给予节能、环境标志产品价格项（</w:t>
      </w:r>
      <w:r>
        <w:rPr>
          <w:rFonts w:ascii="Calibri" w:hAnsi="Calibri" w:cs="Calibri"/>
          <w:color w:val="auto"/>
          <w:highlight w:val="none"/>
        </w:rPr>
        <w:t>F1</w:t>
      </w:r>
      <w:r>
        <w:rPr>
          <w:rFonts w:hint="eastAsia" w:ascii="宋体" w:hAnsi="宋体" w:cs="宋体"/>
          <w:color w:val="auto"/>
          <w:highlight w:val="none"/>
        </w:rPr>
        <w:t>×</w:t>
      </w:r>
      <w:r>
        <w:rPr>
          <w:rFonts w:ascii="Calibri" w:hAnsi="Calibri" w:cs="Calibri"/>
          <w:color w:val="auto"/>
          <w:highlight w:val="none"/>
        </w:rPr>
        <w:t>A1</w:t>
      </w:r>
      <w:r>
        <w:rPr>
          <w:rFonts w:hint="eastAsia" w:ascii="宋体" w:hAnsi="宋体" w:cs="宋体"/>
          <w:color w:val="auto"/>
          <w:highlight w:val="none"/>
        </w:rPr>
        <w:t>，按照满分计）和技术项（</w:t>
      </w:r>
      <w:r>
        <w:rPr>
          <w:rFonts w:ascii="Calibri" w:hAnsi="Calibri" w:cs="Calibri"/>
          <w:color w:val="auto"/>
          <w:highlight w:val="none"/>
        </w:rPr>
        <w:t>F2</w:t>
      </w:r>
      <w:r>
        <w:rPr>
          <w:rFonts w:hint="eastAsia" w:ascii="宋体" w:hAnsi="宋体" w:cs="宋体"/>
          <w:color w:val="auto"/>
          <w:highlight w:val="none"/>
        </w:rPr>
        <w:t>×</w:t>
      </w:r>
      <w:r>
        <w:rPr>
          <w:rFonts w:ascii="Calibri" w:hAnsi="Calibri" w:cs="Calibri"/>
          <w:color w:val="auto"/>
          <w:highlight w:val="none"/>
        </w:rPr>
        <w:t>A2</w:t>
      </w:r>
      <w:r>
        <w:rPr>
          <w:rFonts w:hint="eastAsia" w:ascii="宋体" w:hAnsi="宋体" w:cs="宋体"/>
          <w:color w:val="auto"/>
          <w:highlight w:val="none"/>
        </w:rPr>
        <w:t>，按照满分计）</w:t>
      </w:r>
      <w:r>
        <w:rPr>
          <w:rFonts w:ascii="Calibri" w:hAnsi="Calibri" w:cs="Calibri"/>
          <w:color w:val="auto"/>
          <w:highlight w:val="none"/>
        </w:rPr>
        <w:t>8%</w:t>
      </w:r>
      <w:r>
        <w:rPr>
          <w:rFonts w:hint="eastAsia" w:ascii="宋体" w:hAnsi="宋体" w:cs="宋体"/>
          <w:color w:val="auto"/>
          <w:highlight w:val="none"/>
        </w:rPr>
        <w:t>的加分。</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a2若节能、环境标志产品仅是构成投标产品的部件、组件或零件，则该投标产品不享受鼓励优惠政策。同一品目中各认证证书不重复计算加分。强制类节能产品不享受加分。</w:t>
      </w:r>
    </w:p>
    <w:tbl>
      <w:tblPr>
        <w:tblStyle w:val="21"/>
        <w:tblW w:w="944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86"/>
        <w:gridCol w:w="795"/>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评标项目</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ascii="宋体" w:hAnsi="宋体" w:cs="宋体"/>
                <w:color w:val="auto"/>
                <w:kern w:val="0"/>
                <w:sz w:val="24"/>
                <w:highlight w:val="none"/>
              </w:rPr>
              <w:t>评标分值</w:t>
            </w:r>
          </w:p>
        </w:tc>
        <w:tc>
          <w:tcPr>
            <w:tcW w:w="6863"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1" w:hRule="atLeast"/>
          <w:tblCellSpacing w:w="0" w:type="dxa"/>
        </w:trPr>
        <w:tc>
          <w:tcPr>
            <w:tcW w:w="1786"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节能、减排、环境标志产品加分明细项</w:t>
            </w:r>
          </w:p>
        </w:tc>
        <w:tc>
          <w:tcPr>
            <w:tcW w:w="795" w:type="dxa"/>
            <w:noWrap/>
            <w:vAlign w:val="center"/>
          </w:tcPr>
          <w:p>
            <w:pPr>
              <w:keepNext w:val="0"/>
              <w:keepLines w:val="0"/>
              <w:pageBreakBefore w:val="0"/>
              <w:widowControl/>
              <w:kinsoku/>
              <w:wordWrap/>
              <w:overflowPunct/>
              <w:topLinePunct w:val="0"/>
              <w:bidi w:val="0"/>
              <w:spacing w:line="400" w:lineRule="exact"/>
              <w:ind w:left="0" w:right="0"/>
              <w:jc w:val="center"/>
              <w:textAlignment w:val="auto"/>
              <w:rPr>
                <w:color w:val="auto"/>
                <w:highlight w:val="none"/>
              </w:rPr>
            </w:pPr>
            <w:r>
              <w:rPr>
                <w:rFonts w:hint="eastAsia"/>
                <w:color w:val="auto"/>
                <w:highlight w:val="none"/>
              </w:rPr>
              <w:t>6.8</w:t>
            </w:r>
          </w:p>
        </w:tc>
        <w:tc>
          <w:tcPr>
            <w:tcW w:w="6863" w:type="dxa"/>
            <w:noWrap/>
            <w:vAlign w:val="center"/>
          </w:tcPr>
          <w:p>
            <w:pPr>
              <w:keepNext w:val="0"/>
              <w:keepLines w:val="0"/>
              <w:pageBreakBefore w:val="0"/>
              <w:widowControl/>
              <w:kinsoku/>
              <w:wordWrap/>
              <w:overflowPunct/>
              <w:topLinePunct w:val="0"/>
              <w:bidi w:val="0"/>
              <w:spacing w:line="400" w:lineRule="exact"/>
              <w:ind w:left="0" w:right="0"/>
              <w:jc w:val="left"/>
              <w:textAlignment w:val="auto"/>
              <w:rPr>
                <w:color w:val="auto"/>
                <w:highlight w:val="none"/>
              </w:rPr>
            </w:pPr>
            <w:r>
              <w:rPr>
                <w:rFonts w:ascii="宋体" w:hAnsi="宋体" w:cs="宋体"/>
                <w:color w:val="auto"/>
                <w:kern w:val="0"/>
                <w:sz w:val="24"/>
                <w:highlight w:val="none"/>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（4）中标候选人排列规则顺序如下：</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a.按照评标总得分（</w:t>
      </w:r>
      <w:r>
        <w:rPr>
          <w:rFonts w:ascii="Calibri" w:hAnsi="Calibri" w:cs="Calibri"/>
          <w:color w:val="auto"/>
          <w:highlight w:val="none"/>
        </w:rPr>
        <w:t>FA</w:t>
      </w:r>
      <w:r>
        <w:rPr>
          <w:rFonts w:hint="eastAsia" w:ascii="宋体" w:hAnsi="宋体" w:cs="宋体"/>
          <w:color w:val="auto"/>
          <w:highlight w:val="none"/>
        </w:rPr>
        <w:t>）由高到低顺序排列。</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b.评标总得分（</w:t>
      </w:r>
      <w:r>
        <w:rPr>
          <w:rFonts w:ascii="Calibri" w:hAnsi="Calibri" w:cs="Calibri"/>
          <w:color w:val="auto"/>
          <w:highlight w:val="none"/>
        </w:rPr>
        <w:t>FA</w:t>
      </w:r>
      <w:r>
        <w:rPr>
          <w:rFonts w:hint="eastAsia" w:ascii="宋体" w:hAnsi="宋体" w:cs="宋体"/>
          <w:color w:val="auto"/>
          <w:highlight w:val="none"/>
        </w:rPr>
        <w:t>）相同的，按照评标价（即价格扣除后的投标报价）由低到高顺序排列。</w:t>
      </w:r>
    </w:p>
    <w:p>
      <w:pPr>
        <w:pStyle w:val="18"/>
        <w:keepNext w:val="0"/>
        <w:keepLines w:val="0"/>
        <w:pageBreakBefore w:val="0"/>
        <w:widowControl/>
        <w:kinsoku/>
        <w:wordWrap/>
        <w:overflowPunct/>
        <w:topLinePunct w:val="0"/>
        <w:bidi w:val="0"/>
        <w:spacing w:line="400" w:lineRule="exact"/>
        <w:ind w:left="0" w:right="0" w:firstLine="480"/>
        <w:textAlignment w:val="auto"/>
        <w:rPr>
          <w:color w:val="auto"/>
          <w:highlight w:val="none"/>
        </w:rPr>
      </w:pPr>
      <w:r>
        <w:rPr>
          <w:rFonts w:hint="eastAsia" w:ascii="宋体" w:hAnsi="宋体" w:cs="宋体"/>
          <w:color w:val="auto"/>
          <w:highlight w:val="none"/>
        </w:rPr>
        <w:t>c.评标总得分（</w:t>
      </w:r>
      <w:r>
        <w:rPr>
          <w:rFonts w:ascii="Calibri" w:hAnsi="Calibri" w:cs="Calibri"/>
          <w:color w:val="auto"/>
          <w:highlight w:val="none"/>
        </w:rPr>
        <w:t>FA</w:t>
      </w:r>
      <w:r>
        <w:rPr>
          <w:rFonts w:hint="eastAsia" w:ascii="宋体" w:hAnsi="宋体" w:cs="宋体"/>
          <w:color w:val="auto"/>
          <w:highlight w:val="none"/>
        </w:rPr>
        <w:t>）且评标价（即价格扣除后的投标报价）相同的并列。</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8、其他规定</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8.1评标应全程保密且不得透露给任一投标人或与评标工作无关的人员。</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8.2评标将进行全程实时录音录像，录音录像资料随采购文件一并存档。</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8.3若投标人有任何试图干扰具体评标事务，影响评标委员会独立履行职责的行为，其投标无效且不予退还投标保证金。情节严重的，由财政部门列入不良行为记录。</w:t>
      </w:r>
    </w:p>
    <w:p>
      <w:pPr>
        <w:pStyle w:val="18"/>
        <w:keepNext w:val="0"/>
        <w:keepLines w:val="0"/>
        <w:pageBreakBefore w:val="0"/>
        <w:widowControl/>
        <w:kinsoku/>
        <w:wordWrap/>
        <w:overflowPunct/>
        <w:topLinePunct w:val="0"/>
        <w:bidi w:val="0"/>
        <w:spacing w:line="400" w:lineRule="exact"/>
        <w:ind w:left="0" w:right="0"/>
        <w:textAlignment w:val="auto"/>
        <w:rPr>
          <w:color w:val="auto"/>
          <w:highlight w:val="none"/>
        </w:rPr>
      </w:pPr>
      <w:r>
        <w:rPr>
          <w:rFonts w:hint="eastAsia" w:ascii="宋体" w:hAnsi="宋体" w:cs="宋体"/>
          <w:color w:val="auto"/>
          <w:highlight w:val="none"/>
        </w:rPr>
        <w:t>8.4其他：</w:t>
      </w:r>
      <w:r>
        <w:rPr>
          <w:color w:val="auto"/>
          <w:highlight w:val="none"/>
        </w:rPr>
        <w:t>无。</w:t>
      </w:r>
    </w:p>
    <w:p>
      <w:pPr>
        <w:widowControl/>
        <w:spacing w:before="75" w:after="75" w:line="360" w:lineRule="auto"/>
        <w:jc w:val="left"/>
        <w:rPr>
          <w:rFonts w:ascii="宋体" w:hAnsi="宋体" w:cs="宋体"/>
          <w:color w:val="auto"/>
          <w:kern w:val="0"/>
          <w:sz w:val="24"/>
          <w:highlight w:val="none"/>
        </w:rPr>
      </w:pPr>
    </w:p>
    <w:p>
      <w:pPr>
        <w:widowControl/>
        <w:spacing w:before="75" w:after="75" w:line="360" w:lineRule="auto"/>
        <w:jc w:val="left"/>
        <w:rPr>
          <w:rFonts w:ascii="宋体" w:hAnsi="宋体" w:cs="宋体"/>
          <w:color w:val="auto"/>
          <w:kern w:val="0"/>
          <w:sz w:val="24"/>
          <w:highlight w:val="none"/>
        </w:rPr>
      </w:pPr>
    </w:p>
    <w:p>
      <w:pPr>
        <w:rPr>
          <w:rFonts w:ascii="宋体" w:hAnsi="宋体" w:cs="宋体"/>
          <w:color w:val="auto"/>
          <w:kern w:val="0"/>
          <w:sz w:val="24"/>
          <w:highlight w:val="none"/>
        </w:rPr>
      </w:pPr>
      <w:r>
        <w:rPr>
          <w:rFonts w:ascii="宋体" w:hAnsi="宋体" w:cs="宋体"/>
          <w:color w:val="auto"/>
          <w:kern w:val="0"/>
          <w:sz w:val="24"/>
          <w:highlight w:val="none"/>
        </w:rPr>
        <w:br w:type="page"/>
      </w:r>
    </w:p>
    <w:p>
      <w:pPr>
        <w:pStyle w:val="7"/>
        <w:rPr>
          <w:color w:val="auto"/>
          <w:highlight w:val="none"/>
        </w:rPr>
      </w:pPr>
    </w:p>
    <w:p>
      <w:pPr>
        <w:tabs>
          <w:tab w:val="left" w:pos="3240"/>
          <w:tab w:val="left" w:pos="3600"/>
          <w:tab w:val="left" w:pos="4057"/>
          <w:tab w:val="right" w:pos="9070"/>
        </w:tabs>
        <w:spacing w:after="156" w:afterLines="50" w:line="264"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第五章  招标内容及要求</w:t>
      </w:r>
    </w:p>
    <w:bookmarkEnd w:id="0"/>
    <w:p>
      <w:pPr>
        <w:pStyle w:val="18"/>
        <w:widowControl/>
        <w:spacing w:before="75" w:after="75" w:line="360" w:lineRule="auto"/>
        <w:rPr>
          <w:rFonts w:ascii="宋体" w:hAnsi="宋体" w:cs="宋体"/>
          <w:b/>
          <w:bCs/>
          <w:color w:val="auto"/>
          <w:highlight w:val="none"/>
        </w:rPr>
      </w:pPr>
      <w:r>
        <w:rPr>
          <w:rFonts w:hint="eastAsia" w:ascii="宋体" w:hAnsi="宋体" w:cs="宋体"/>
          <w:b/>
          <w:bCs/>
          <w:color w:val="auto"/>
          <w:highlight w:val="none"/>
        </w:rPr>
        <w:t>一、项目概况（采购标的）</w:t>
      </w:r>
    </w:p>
    <w:tbl>
      <w:tblPr>
        <w:tblStyle w:val="21"/>
        <w:tblW w:w="10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0"/>
        <w:gridCol w:w="1314"/>
        <w:gridCol w:w="7451"/>
        <w:gridCol w:w="481"/>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序号</w:t>
            </w:r>
          </w:p>
        </w:tc>
        <w:tc>
          <w:tcPr>
            <w:tcW w:w="1314"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设备名称/支出项目</w:t>
            </w:r>
          </w:p>
        </w:tc>
        <w:tc>
          <w:tcPr>
            <w:tcW w:w="7451"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型号规格/支出用途概述</w:t>
            </w:r>
          </w:p>
        </w:tc>
        <w:tc>
          <w:tcPr>
            <w:tcW w:w="481"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单位</w:t>
            </w:r>
          </w:p>
        </w:tc>
        <w:tc>
          <w:tcPr>
            <w:tcW w:w="518"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c>
          <w:tcPr>
            <w:tcW w:w="1314"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操作系统和办公软件授权服务</w:t>
            </w:r>
          </w:p>
        </w:tc>
        <w:tc>
          <w:tcPr>
            <w:tcW w:w="7451" w:type="dxa"/>
            <w:vAlign w:val="center"/>
          </w:tcPr>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包括windows11专业版、Windows10专业版、windows8专业版及服务期内发行的新版本；office 2019专业增强版/office2016专业增强版/office2013专业增强版/office2010专业增强版，office for mac 2019/2016/2011及服务期内的升级版本使用），覆盖全校师生使用。（具体详见技术和服务要求）</w:t>
            </w:r>
          </w:p>
        </w:tc>
        <w:tc>
          <w:tcPr>
            <w:tcW w:w="481"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p>
        </w:tc>
        <w:tc>
          <w:tcPr>
            <w:tcW w:w="518"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314" w:type="dxa"/>
            <w:vAlign w:val="center"/>
          </w:tcPr>
          <w:p>
            <w:pPr>
              <w:pStyle w:val="93"/>
              <w:ind w:firstLine="0" w:firstLineChars="0"/>
              <w:rPr>
                <w:rFonts w:asciiTheme="minorEastAsia" w:hAnsiTheme="minorEastAsia" w:eastAsiaTheme="minorEastAsia"/>
                <w:color w:val="auto"/>
                <w:sz w:val="24"/>
                <w:highlight w:val="none"/>
              </w:rPr>
            </w:pPr>
            <w:r>
              <w:rPr>
                <w:rFonts w:hint="eastAsia" w:ascii="宋体" w:hAnsi="宋体" w:cs="宋体"/>
                <w:color w:val="auto"/>
                <w:kern w:val="0"/>
                <w:sz w:val="24"/>
                <w:highlight w:val="none"/>
              </w:rPr>
              <w:t>软件正版化管理平台和售后服务</w:t>
            </w:r>
          </w:p>
        </w:tc>
        <w:tc>
          <w:tcPr>
            <w:tcW w:w="7451" w:type="dxa"/>
            <w:vAlign w:val="center"/>
          </w:tcPr>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1、提供软件资源管理平台需实现对校园软件正版化协议的软件在本校范围内的软件下载、批量分发、软件升级、批量激活、数量统计等全面管理；</w:t>
            </w:r>
          </w:p>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2、软件更新：包括平台产品更新、补丁更新和平台数据更新</w:t>
            </w:r>
          </w:p>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3、提供本地客户服务支持，24小时响应，提供定期巡检、平台升级、数据导入、更新服务、技术支持等服务</w:t>
            </w:r>
          </w:p>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4、培训3名以上网络管理人员，对系统进行操作培训</w:t>
            </w:r>
          </w:p>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5、提供在线技术支持服务及服务电话、服务邮箱和400电话热线和网络咨询服务(5×8小时/周)</w:t>
            </w:r>
          </w:p>
          <w:p>
            <w:pPr>
              <w:pStyle w:val="93"/>
              <w:ind w:firstLine="0" w:firstLineChars="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6、软件在升级范围时间内出现新版本应免费升级（具体详见技术和服务要求）</w:t>
            </w:r>
          </w:p>
        </w:tc>
        <w:tc>
          <w:tcPr>
            <w:tcW w:w="481"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w:t>
            </w:r>
          </w:p>
        </w:tc>
        <w:tc>
          <w:tcPr>
            <w:tcW w:w="518"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70" w:type="dxa"/>
            <w:vAlign w:val="center"/>
          </w:tcPr>
          <w:p>
            <w:pPr>
              <w:pStyle w:val="93"/>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314" w:type="dxa"/>
            <w:vAlign w:val="center"/>
          </w:tcPr>
          <w:p>
            <w:pPr>
              <w:pStyle w:val="93"/>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360杀毒软件</w:t>
            </w:r>
          </w:p>
        </w:tc>
        <w:tc>
          <w:tcPr>
            <w:tcW w:w="7451" w:type="dxa"/>
            <w:vAlign w:val="center"/>
          </w:tcPr>
          <w:p>
            <w:pPr>
              <w:pStyle w:val="93"/>
              <w:ind w:firstLine="240" w:firstLineChars="1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年授权（具体详见技术和服务要求）</w:t>
            </w:r>
          </w:p>
        </w:tc>
        <w:tc>
          <w:tcPr>
            <w:tcW w:w="481"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套</w:t>
            </w:r>
          </w:p>
        </w:tc>
        <w:tc>
          <w:tcPr>
            <w:tcW w:w="518" w:type="dxa"/>
            <w:vAlign w:val="center"/>
          </w:tcPr>
          <w:p>
            <w:pPr>
              <w:pStyle w:val="93"/>
              <w:ind w:firstLine="0" w:firstLineChars="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20</w:t>
            </w:r>
          </w:p>
        </w:tc>
      </w:tr>
    </w:tbl>
    <w:p>
      <w:pPr>
        <w:numPr>
          <w:ilvl w:val="0"/>
          <w:numId w:val="4"/>
        </w:numPr>
        <w:autoSpaceDE w:val="0"/>
        <w:autoSpaceDN w:val="0"/>
        <w:adjustRightInd w:val="0"/>
        <w:snapToGrid w:val="0"/>
        <w:spacing w:before="468" w:beforeLines="150" w:after="312" w:afterLines="100" w:line="400" w:lineRule="exact"/>
        <w:jc w:val="left"/>
        <w:rPr>
          <w:rFonts w:ascii="宋体" w:hAnsi="宋体" w:cs="宋体"/>
          <w:color w:val="auto"/>
          <w:szCs w:val="21"/>
          <w:highlight w:val="none"/>
        </w:rPr>
      </w:pPr>
      <w:r>
        <w:rPr>
          <w:rFonts w:hint="eastAsia" w:ascii="宋体" w:hAnsi="宋体" w:cs="宋体"/>
          <w:b/>
          <w:bCs/>
          <w:color w:val="auto"/>
          <w:sz w:val="24"/>
          <w:szCs w:val="32"/>
          <w:highlight w:val="none"/>
        </w:rPr>
        <w:t>技术和服务要求</w:t>
      </w:r>
      <w:r>
        <w:rPr>
          <w:rStyle w:val="25"/>
          <w:rFonts w:hint="eastAsia" w:ascii="宋体" w:hAnsi="宋体" w:cs="宋体"/>
          <w:bCs/>
          <w:color w:val="auto"/>
          <w:sz w:val="24"/>
          <w:highlight w:val="none"/>
          <w:u w:val="single"/>
        </w:rPr>
        <w:t>（</w:t>
      </w:r>
      <w:r>
        <w:rPr>
          <w:rStyle w:val="25"/>
          <w:rFonts w:hint="eastAsia" w:ascii="宋体" w:hAnsi="宋体" w:cs="宋体"/>
          <w:color w:val="auto"/>
          <w:sz w:val="24"/>
          <w:highlight w:val="none"/>
          <w:u w:val="single"/>
        </w:rPr>
        <w:t>以“★”标示的内容为不允许负偏离的实质性要求）</w:t>
      </w:r>
    </w:p>
    <w:tbl>
      <w:tblPr>
        <w:tblStyle w:val="21"/>
        <w:tblW w:w="9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66"/>
        <w:gridCol w:w="966"/>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Align w:val="center"/>
          </w:tcPr>
          <w:p>
            <w:pPr>
              <w:widowControl/>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966" w:type="dxa"/>
            <w:vAlign w:val="center"/>
          </w:tcPr>
          <w:p>
            <w:pPr>
              <w:widowControl/>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966" w:type="dxa"/>
            <w:vAlign w:val="center"/>
          </w:tcPr>
          <w:p>
            <w:pPr>
              <w:widowControl/>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指标项</w:t>
            </w:r>
          </w:p>
        </w:tc>
        <w:tc>
          <w:tcPr>
            <w:tcW w:w="7111" w:type="dxa"/>
            <w:vAlign w:val="center"/>
          </w:tcPr>
          <w:p>
            <w:pPr>
              <w:widowControl/>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restart"/>
          </w:tcPr>
          <w:p>
            <w:pPr>
              <w:snapToGrid w:val="0"/>
              <w:spacing w:line="400" w:lineRule="exact"/>
              <w:rPr>
                <w:rFonts w:ascii="宋体" w:hAnsi="宋体" w:cs="宋体"/>
                <w:color w:val="auto"/>
                <w:kern w:val="0"/>
                <w:sz w:val="24"/>
                <w:highlight w:val="none"/>
              </w:rPr>
            </w:pPr>
          </w:p>
          <w:p>
            <w:pPr>
              <w:snapToGrid w:val="0"/>
              <w:spacing w:line="400" w:lineRule="exact"/>
              <w:rPr>
                <w:rFonts w:ascii="宋体" w:hAnsi="宋体" w:cs="宋体"/>
                <w:color w:val="auto"/>
                <w:kern w:val="0"/>
                <w:sz w:val="24"/>
                <w:highlight w:val="none"/>
              </w:rPr>
            </w:pPr>
          </w:p>
          <w:p>
            <w:pPr>
              <w:snapToGrid w:val="0"/>
              <w:spacing w:line="400" w:lineRule="exact"/>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66" w:type="dxa"/>
            <w:vMerge w:val="restart"/>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操作系统授权服务</w:t>
            </w:r>
          </w:p>
        </w:tc>
        <w:tc>
          <w:tcPr>
            <w:tcW w:w="966" w:type="dxa"/>
            <w:vMerge w:val="restart"/>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基本要求</w:t>
            </w: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授权方式：校园正版协议（Campus Agreement）（非OEM版）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涵盖范围：学校办公室、教室、实验室和图书馆等场所的计算机包括教职工电脑和笔记本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合约期限：1年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合约有效期内，软件如有升级版本，授权对升级版本同样有效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合约有效期间，新增计算机不再加收任何费用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合约有效期内价格不得变动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restart"/>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功能要求</w:t>
            </w:r>
          </w:p>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产品语言：至少包括简体中文和英文版本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桌面操作系统要能够支持系统之间轻松传送，可以将原有低版本系统上的文件、文件夹、程序设置和系统设置从旧 PC 转移到新 PC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支持自适应性显示器亮度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支持用户帐户控制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平台安全稳定。具有基本的安全功能（如内核修补程序保护、服务强化、数据执行保护、地址空间布局随机选择和强制完整性级别），并针对恶意软件和攻击提供增强的防护。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支持系统还原。系统还原点在备份中也可用，可以从一个更大的还原点列表中进行选择，并且可能覆盖很长一段时间。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支持操作系统疑难解答可以诊断并解决常见的操作系统和硬件问题，它针对一些不同类型的问题提供了内置的疑难解答程序。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支持自动化的启动修复工具来诊断和恢复无法启动的系统。如果遇到无法成功启动的情况，操作系统会自动加载启动修复，它会扫描 PC 中的问题（比如注册表损坏、系统文件丢失或启动配置数据无效），并在可能的情况下自动修复它们，然后像往常一样重新启动。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支持从其他电脑远程访问某台电脑上的文件和程序。能够进行脱机操作，自动将电脑和网络上的内容同步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支持智能输入和最近搜索。它可以根据之前的搜索呈现输入建议，并动态过滤这些建议来帮助缩小结果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支持操作系统内置支持的的本地全局搜索。只需在搜索框中输入少许字母，就会显示匹配的文档、图片、音乐、电子邮件和其他文件的列表，所有内容都排列在相应的类别下。还可以直接在开始菜单中搜索控制面板任务，以便快速调整计算机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tcPr>
          <w:p>
            <w:pPr>
              <w:widowControl/>
              <w:snapToGrid w:val="0"/>
              <w:spacing w:line="400" w:lineRule="exact"/>
              <w:jc w:val="left"/>
              <w:rPr>
                <w:rFonts w:ascii="宋体" w:hAnsi="宋体" w:cs="宋体"/>
                <w:color w:val="auto"/>
                <w:kern w:val="0"/>
                <w:sz w:val="24"/>
                <w:highlight w:val="none"/>
              </w:rPr>
            </w:pPr>
            <w:r>
              <w:rPr>
                <w:rFonts w:hint="eastAsia" w:ascii="宋体" w:hAnsi="宋体" w:cs="宋体"/>
                <w:bCs/>
                <w:color w:val="auto"/>
                <w:kern w:val="0"/>
                <w:sz w:val="24"/>
                <w:highlight w:val="none"/>
                <w:lang w:val="en-US" w:eastAsia="zh-CN"/>
              </w:rPr>
              <w:t>18、</w:t>
            </w:r>
            <w:r>
              <w:rPr>
                <w:rFonts w:hint="eastAsia" w:ascii="宋体" w:hAnsi="宋体" w:cs="宋体"/>
                <w:color w:val="auto"/>
                <w:kern w:val="0"/>
                <w:sz w:val="24"/>
                <w:highlight w:val="none"/>
              </w:rPr>
              <w:t>资质要求</w:t>
            </w: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bCs/>
                <w:color w:val="auto"/>
                <w:kern w:val="0"/>
                <w:sz w:val="24"/>
                <w:highlight w:val="none"/>
              </w:rPr>
              <w:t>提供所投产品检测报告加盖投标人公章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restart"/>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服务要求</w:t>
            </w:r>
          </w:p>
        </w:tc>
        <w:tc>
          <w:tcPr>
            <w:tcW w:w="7111" w:type="dxa"/>
            <w:vAlign w:val="center"/>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售后服务期限：1年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widowControl/>
              <w:snapToGrid w:val="0"/>
              <w:spacing w:line="400" w:lineRule="exac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提供软件补丁更新和技术支持（包括电话支持和在线支持）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restart"/>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办公软授权服务</w:t>
            </w:r>
          </w:p>
        </w:tc>
        <w:tc>
          <w:tcPr>
            <w:tcW w:w="966" w:type="dxa"/>
            <w:vMerge w:val="restart"/>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基本要求</w:t>
            </w:r>
          </w:p>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授权方式：校园正版协议（Campus Agreement）（非OEM版）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涵盖范围：学校办公室、教室、实验室和图书馆等场所的计算机包括教职工电脑和笔记本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合约期限：1年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合约有效期内，软件如有升级版本，授权对升级版本同样有效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合约有效期间，新增计算机不再加收任何费用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合约有效期内价格不得变动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restart"/>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功能要求</w:t>
            </w:r>
          </w:p>
          <w:p>
            <w:pPr>
              <w:snapToGrid w:val="0"/>
              <w:spacing w:line="400" w:lineRule="exact"/>
              <w:jc w:val="left"/>
              <w:rPr>
                <w:rFonts w:ascii="宋体" w:hAnsi="宋体" w:cs="宋体"/>
                <w:color w:val="auto"/>
                <w:kern w:val="0"/>
                <w:sz w:val="24"/>
                <w:highlight w:val="none"/>
              </w:rPr>
            </w:pPr>
          </w:p>
        </w:tc>
        <w:tc>
          <w:tcPr>
            <w:tcW w:w="7111" w:type="dxa"/>
            <w:vAlign w:val="center"/>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产品分别能支持Windows平台和mac平台。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必须包含以下组件：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 文字处理软件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 电子表格软件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 PPT演示软件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 电子邮件访问软件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5） 电子笔记本软件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6） 绘图软件</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7） 项目管理软件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提供以结果为导向的用户界面，让操作更为流畅、简洁；</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 “上下文选项卡”可智能感知用户操作，并将所需命令全盘奉上</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2）智能标记等可以出现在所有应用程序中，快速帮助用户完成所需的工作</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 必须提供智能文档（SmartDoc）的操作，使文档的制作更加智能化</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4）必须提供智能图形（SmartArt）的制作，使信息以更加直观、生动的方式展现出来</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5） 应用程序组件之间可以相互沟通，最大限度地实现数据再利用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必须应包含12类不同应用领域的300多个函数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必须提供强大的数据分析和处理能力，包括筛选数据、分类汇总、规划求解、最优化方案统计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必须提供专业化的数据分析工具库，如回归分析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必须提供数据透视分析功能和切片器功能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必须提供数据分析的迷你图设计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提供增强的条件格式功能让数据展现更为精彩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提供电子邮件组件，作为一个强大的个人信息管理系统，方便地管理电子邮件、联系人信息、任务、个人日程安排、小组工作计划、日志等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提供面向工作成果的用户界面，可使用户从收集预定义样式、表格格式、列表格式、图形效果等内容的库中进行挑选，大大节省时间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能够将网上的模板嵌入各种应用程序中，使用户可以在新建文档时，快速创建并使用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采用基于Open XML的文件格式，可提高文件的安全性，减少文件损坏的几率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提供文档检查器，可自动删除文档中的个人标识性信息，有效保护私人信息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提供文字处理软件文档的分段保护功能，使得不同用户对文档的不同部分拥有不同的编辑权限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提供更为严格的文档密保机制，有效地提高了机密文档和信息的安全性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提供共同创作功能，允许团队中的多人在同一时刻，利用多个办公软件应用程序，对同一服务器文档的不同章节进行编辑，并可同步更新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能够与前端内容创建应用集成，包括（团队协作、门户技术、内容管理、业务流程和表格、企业搜索、商业智能和与第三方应用的连接性支持）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提供丰富的扩展和开发能力</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IT人员和高级用户可以通过VBA技术、XML技术、VS.net开发定制，使其更符合企业办公的特殊需求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提供跨越手机、电脑、浏览器的使用新体验</w:t>
            </w:r>
          </w:p>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1）在云、数据中心和混合环境中提供最佳办公体验</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2）包括统一沟通、企业协作、商业智能、企业项目管理在内的多种解决方案供选择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资质要求</w:t>
            </w:r>
          </w:p>
        </w:tc>
        <w:tc>
          <w:tcPr>
            <w:tcW w:w="7111" w:type="dxa"/>
            <w:vAlign w:val="center"/>
          </w:tcPr>
          <w:p>
            <w:pPr>
              <w:widowControl/>
              <w:snapToGrid w:val="0"/>
              <w:spacing w:line="400" w:lineRule="exact"/>
              <w:jc w:val="left"/>
              <w:rPr>
                <w:rFonts w:ascii="宋体" w:hAnsi="宋体" w:cs="宋体"/>
                <w:bCs/>
                <w:color w:val="auto"/>
                <w:kern w:val="0"/>
                <w:sz w:val="24"/>
                <w:highlight w:val="none"/>
              </w:rPr>
            </w:pPr>
            <w:r>
              <w:rPr>
                <w:rFonts w:hint="eastAsia" w:ascii="宋体" w:hAnsi="宋体" w:cs="宋体"/>
                <w:bCs/>
                <w:color w:val="auto"/>
                <w:kern w:val="0"/>
                <w:sz w:val="24"/>
                <w:highlight w:val="none"/>
              </w:rPr>
              <w:t>提供所投产品检测报告加盖投标人公章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snapToGrid w:val="0"/>
              <w:spacing w:line="400" w:lineRule="exact"/>
              <w:rPr>
                <w:rFonts w:ascii="宋体" w:hAnsi="宋体" w:cs="宋体"/>
                <w:color w:val="auto"/>
                <w:kern w:val="0"/>
                <w:sz w:val="24"/>
                <w:highlight w:val="none"/>
              </w:rPr>
            </w:pPr>
          </w:p>
        </w:tc>
        <w:tc>
          <w:tcPr>
            <w:tcW w:w="966" w:type="dxa"/>
            <w:vMerge w:val="continue"/>
          </w:tcPr>
          <w:p>
            <w:pPr>
              <w:snapToGrid w:val="0"/>
              <w:spacing w:line="400" w:lineRule="exact"/>
              <w:jc w:val="left"/>
              <w:rPr>
                <w:rFonts w:ascii="宋体" w:hAnsi="宋体" w:cs="宋体"/>
                <w:color w:val="auto"/>
                <w:kern w:val="0"/>
                <w:sz w:val="24"/>
                <w:highlight w:val="none"/>
              </w:rPr>
            </w:pPr>
          </w:p>
        </w:tc>
        <w:tc>
          <w:tcPr>
            <w:tcW w:w="966" w:type="dxa"/>
            <w:vMerge w:val="restart"/>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服务要</w:t>
            </w:r>
            <w:bookmarkStart w:id="21" w:name="_GoBack"/>
            <w:bookmarkEnd w:id="21"/>
            <w:r>
              <w:rPr>
                <w:rFonts w:hint="eastAsia" w:ascii="宋体" w:hAnsi="宋体" w:cs="宋体"/>
                <w:color w:val="auto"/>
                <w:kern w:val="0"/>
                <w:sz w:val="24"/>
                <w:highlight w:val="none"/>
              </w:rPr>
              <w:t>求</w:t>
            </w:r>
          </w:p>
        </w:tc>
        <w:tc>
          <w:tcPr>
            <w:tcW w:w="7111" w:type="dxa"/>
            <w:vAlign w:val="center"/>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售后服务期限：1年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vMerge w:val="continue"/>
          </w:tcPr>
          <w:p>
            <w:pPr>
              <w:widowControl/>
              <w:snapToGrid w:val="0"/>
              <w:spacing w:line="400" w:lineRule="exac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966" w:type="dxa"/>
            <w:vMerge w:val="continue"/>
          </w:tcPr>
          <w:p>
            <w:pPr>
              <w:widowControl/>
              <w:snapToGrid w:val="0"/>
              <w:spacing w:line="400" w:lineRule="exact"/>
              <w:jc w:val="left"/>
              <w:rPr>
                <w:rFonts w:ascii="宋体" w:hAnsi="宋体" w:cs="宋体"/>
                <w:color w:val="auto"/>
                <w:kern w:val="0"/>
                <w:sz w:val="24"/>
                <w:highlight w:val="none"/>
              </w:rPr>
            </w:pPr>
          </w:p>
        </w:tc>
        <w:tc>
          <w:tcPr>
            <w:tcW w:w="7111" w:type="dxa"/>
            <w:vAlign w:val="center"/>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提供软件补丁更新和技术支持（包括电话支持和在线支持）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66" w:type="dxa"/>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软件正版化管理平台和售后服务</w:t>
            </w:r>
          </w:p>
        </w:tc>
        <w:tc>
          <w:tcPr>
            <w:tcW w:w="966" w:type="dxa"/>
          </w:tcPr>
          <w:p>
            <w:pPr>
              <w:snapToGrid w:val="0"/>
              <w:spacing w:line="400" w:lineRule="exact"/>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snapToGrid w:val="0"/>
              <w:spacing w:line="400" w:lineRule="exact"/>
              <w:ind w:right="-67" w:rightChars="-32"/>
              <w:jc w:val="left"/>
              <w:rPr>
                <w:rFonts w:ascii="宋体" w:hAnsi="宋体" w:cs="宋体"/>
                <w:b/>
                <w:color w:val="auto"/>
                <w:kern w:val="0"/>
                <w:sz w:val="24"/>
                <w:highlight w:val="none"/>
              </w:rPr>
            </w:pPr>
            <w:r>
              <w:rPr>
                <w:rFonts w:hint="eastAsia" w:ascii="宋体" w:hAnsi="宋体" w:cs="宋体"/>
                <w:b/>
                <w:color w:val="auto"/>
                <w:kern w:val="0"/>
                <w:sz w:val="24"/>
                <w:highlight w:val="none"/>
              </w:rPr>
              <w:t>　</w:t>
            </w:r>
          </w:p>
          <w:p>
            <w:pPr>
              <w:widowControl/>
              <w:snapToGrid w:val="0"/>
              <w:spacing w:line="400" w:lineRule="exact"/>
              <w:jc w:val="left"/>
              <w:rPr>
                <w:rFonts w:ascii="宋体" w:hAnsi="宋体" w:cs="宋体"/>
                <w:color w:val="auto"/>
                <w:kern w:val="0"/>
                <w:sz w:val="24"/>
                <w:highlight w:val="none"/>
              </w:rPr>
            </w:pPr>
          </w:p>
          <w:p>
            <w:pPr>
              <w:widowControl/>
              <w:snapToGrid w:val="0"/>
              <w:spacing w:line="400" w:lineRule="exact"/>
              <w:jc w:val="left"/>
              <w:rPr>
                <w:rFonts w:ascii="宋体" w:hAnsi="宋体" w:cs="宋体"/>
                <w:color w:val="auto"/>
                <w:kern w:val="0"/>
                <w:sz w:val="24"/>
                <w:highlight w:val="none"/>
              </w:rPr>
            </w:pPr>
          </w:p>
          <w:p>
            <w:pPr>
              <w:snapToGrid w:val="0"/>
              <w:spacing w:line="400" w:lineRule="exact"/>
              <w:jc w:val="left"/>
              <w:rPr>
                <w:rFonts w:ascii="宋体" w:hAnsi="宋体" w:cs="宋体"/>
                <w:color w:val="auto"/>
                <w:kern w:val="0"/>
                <w:sz w:val="24"/>
                <w:highlight w:val="none"/>
              </w:rPr>
            </w:pPr>
          </w:p>
        </w:tc>
        <w:tc>
          <w:tcPr>
            <w:tcW w:w="7111" w:type="dxa"/>
            <w:vAlign w:val="center"/>
          </w:tcPr>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投标人或投标产品厂家须提供专业软件评测机构出具的软件产品登记测试报告，并加盖投标人公章</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▲平台管理后台提供数据可视化查询统计功能，能根据具体时间查询显示用户情况，软件下载，激活分配，软件激活，部门激活等相关数据（提供相关截图证明材料）</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w:t>
            </w:r>
            <w:r>
              <w:rPr>
                <w:rFonts w:hint="eastAsia" w:ascii="宋体" w:hAnsi="宋体" w:cs="宋体"/>
                <w:color w:val="auto"/>
                <w:kern w:val="0"/>
                <w:sz w:val="24"/>
                <w:highlight w:val="none"/>
              </w:rPr>
              <w:t>激活客户端须提供软件检查功能，自行采集操作系统、办公软件等软件相关信息。（提供相关截图证明材料）</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w:t>
            </w:r>
            <w:r>
              <w:rPr>
                <w:rFonts w:hint="eastAsia" w:ascii="宋体" w:hAnsi="宋体" w:cs="宋体"/>
                <w:color w:val="auto"/>
                <w:kern w:val="0"/>
                <w:sz w:val="24"/>
                <w:highlight w:val="none"/>
              </w:rPr>
              <w:t>满足简单易用需求，平台无需登录，可以通过学校的统一门户直接一键启动激活客户端。（提供相关截图证明材料）</w:t>
            </w:r>
          </w:p>
          <w:p>
            <w:pPr>
              <w:pStyle w:val="93"/>
              <w:numPr>
                <w:ilvl w:val="0"/>
                <w:numId w:val="0"/>
              </w:numPr>
              <w:snapToGrid w:val="0"/>
              <w:spacing w:line="400" w:lineRule="exact"/>
              <w:ind w:leftChars="0"/>
              <w:rPr>
                <w:rFonts w:ascii="宋体" w:hAnsi="宋体" w:cs="宋体"/>
                <w:color w:val="auto"/>
                <w:kern w:val="0"/>
                <w:sz w:val="24"/>
                <w:highlight w:val="none"/>
              </w:rPr>
            </w:pPr>
            <w:bookmarkStart w:id="1" w:name="_Hlk110867880"/>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rPr>
              <w:t>▲</w:t>
            </w:r>
            <w:r>
              <w:rPr>
                <w:rFonts w:hint="eastAsia" w:ascii="宋体" w:hAnsi="宋体" w:cs="宋体"/>
                <w:color w:val="auto"/>
                <w:kern w:val="0"/>
                <w:sz w:val="24"/>
                <w:highlight w:val="none"/>
              </w:rPr>
              <w:t>平台</w:t>
            </w:r>
            <w:r>
              <w:rPr>
                <w:rFonts w:hint="eastAsia" w:ascii="宋体" w:hAnsi="宋体" w:cs="宋体"/>
                <w:color w:val="auto"/>
                <w:kern w:val="0"/>
                <w:sz w:val="24"/>
                <w:highlight w:val="none"/>
              </w:rPr>
              <w:t>可以对包括（但是不限于）Microsoft Windows、Microsoft Office、等软件激活进行控制管理。（提供相关截图证明材料）</w:t>
            </w:r>
          </w:p>
          <w:bookmarkEnd w:id="1"/>
          <w:p>
            <w:pPr>
              <w:pStyle w:val="93"/>
              <w:numPr>
                <w:ilvl w:val="0"/>
                <w:numId w:val="0"/>
              </w:numPr>
              <w:snapToGrid w:val="0"/>
              <w:spacing w:line="400" w:lineRule="exact"/>
              <w:ind w:leftChars="0"/>
              <w:rPr>
                <w:rFonts w:ascii="宋体" w:hAnsi="宋体" w:cs="宋体"/>
                <w:color w:val="auto"/>
                <w:kern w:val="0"/>
                <w:sz w:val="24"/>
                <w:highlight w:val="none"/>
              </w:rPr>
            </w:pPr>
            <w:bookmarkStart w:id="2" w:name="_Hlk110867948"/>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w:t>
            </w:r>
            <w:r>
              <w:rPr>
                <w:rFonts w:hint="eastAsia" w:ascii="宋体" w:hAnsi="宋体" w:cs="宋体"/>
                <w:color w:val="auto"/>
                <w:kern w:val="0"/>
                <w:sz w:val="24"/>
                <w:highlight w:val="none"/>
              </w:rPr>
              <w:t>平台能对软件进行多版本控制管理，管理员可以在后台自由对对软件版本进行管理控制。（提供相关截图证明材料）</w:t>
            </w:r>
          </w:p>
          <w:bookmarkEnd w:id="2"/>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rPr>
              <w:t>软件管理与服务平台应当支持部署在学校，且支持私有云平台部署。</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软件管理与服务平台应是基于B/S技术架构，为了降低维护成本和系统代码层的安全，编程语言应当使用C++、QT、PHP、NodeJs等主流编程语言。</w:t>
            </w:r>
          </w:p>
          <w:p>
            <w:pPr>
              <w:pStyle w:val="93"/>
              <w:numPr>
                <w:ilvl w:val="0"/>
                <w:numId w:val="0"/>
              </w:numPr>
              <w:snapToGrid w:val="0"/>
              <w:spacing w:line="400" w:lineRule="exact"/>
              <w:ind w:leftChars="0"/>
              <w:rPr>
                <w:rFonts w:ascii="宋体" w:hAnsi="宋体" w:cs="宋体"/>
                <w:color w:val="auto"/>
                <w:kern w:val="0"/>
                <w:sz w:val="24"/>
                <w:highlight w:val="none"/>
              </w:rPr>
            </w:pPr>
            <w:bookmarkStart w:id="3" w:name="_Hlk110868008"/>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软件管理与服务平台需要采用统一的标准接口开发，需要能与本校的统一身份认证系统进行对接，对接方式包括（但不限于）单点登录，支持中间表方式对用户信息进行对接。</w:t>
            </w:r>
          </w:p>
          <w:bookmarkEnd w:id="3"/>
          <w:p>
            <w:pPr>
              <w:pStyle w:val="93"/>
              <w:numPr>
                <w:ilvl w:val="0"/>
                <w:numId w:val="0"/>
              </w:numPr>
              <w:snapToGrid w:val="0"/>
              <w:spacing w:line="400" w:lineRule="exact"/>
              <w:ind w:leftChars="0"/>
              <w:rPr>
                <w:rFonts w:ascii="宋体" w:hAnsi="宋体" w:cs="宋体"/>
                <w:color w:val="auto"/>
                <w:kern w:val="0"/>
                <w:sz w:val="24"/>
                <w:highlight w:val="none"/>
              </w:rPr>
            </w:pPr>
            <w:bookmarkStart w:id="4" w:name="_Hlk110868042"/>
            <w:r>
              <w:rPr>
                <w:rFonts w:hint="eastAsia" w:ascii="宋体" w:hAnsi="宋体" w:cs="宋体"/>
                <w:color w:val="auto"/>
                <w:kern w:val="0"/>
                <w:sz w:val="24"/>
                <w:highlight w:val="none"/>
                <w:lang w:val="en-US" w:eastAsia="zh-CN"/>
              </w:rPr>
              <w:t>10、</w:t>
            </w:r>
            <w:r>
              <w:rPr>
                <w:rFonts w:hint="eastAsia" w:ascii="宋体" w:hAnsi="宋体" w:cs="宋体"/>
                <w:color w:val="auto"/>
                <w:kern w:val="0"/>
                <w:sz w:val="24"/>
                <w:highlight w:val="none"/>
              </w:rPr>
              <w:t>软件管理与服务平台需要自带独立的用户管理系统，以便在软件管理与服务平台内可以实现独立设置用户在软件管理与服务平台中的使用权限。能支持在软件资源管理与服务平台内对用户信息进行编辑。</w:t>
            </w:r>
          </w:p>
          <w:bookmarkEnd w:id="4"/>
          <w:p>
            <w:pPr>
              <w:pStyle w:val="93"/>
              <w:numPr>
                <w:ilvl w:val="0"/>
                <w:numId w:val="0"/>
              </w:numPr>
              <w:snapToGrid w:val="0"/>
              <w:spacing w:line="400" w:lineRule="exact"/>
              <w:ind w:leftChars="0"/>
              <w:rPr>
                <w:rFonts w:ascii="宋体" w:hAnsi="宋体" w:cs="宋体"/>
                <w:color w:val="auto"/>
                <w:kern w:val="0"/>
                <w:sz w:val="24"/>
                <w:highlight w:val="none"/>
              </w:rPr>
            </w:pPr>
            <w:bookmarkStart w:id="5" w:name="_Hlk110868072"/>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软件管理与服务平台需要支持多级部门管理，且每级部门可以单独设置管理员来管理本部门的下级部门和用户的权限和激活次数的分配。</w:t>
            </w:r>
          </w:p>
          <w:bookmarkEnd w:id="5"/>
          <w:p>
            <w:pPr>
              <w:pStyle w:val="93"/>
              <w:numPr>
                <w:ilvl w:val="0"/>
                <w:numId w:val="0"/>
              </w:numPr>
              <w:snapToGrid w:val="0"/>
              <w:spacing w:line="400" w:lineRule="exact"/>
              <w:ind w:leftChars="0"/>
              <w:rPr>
                <w:rFonts w:ascii="宋体" w:hAnsi="宋体" w:cs="宋体"/>
                <w:color w:val="auto"/>
                <w:kern w:val="0"/>
                <w:sz w:val="24"/>
                <w:highlight w:val="none"/>
              </w:rPr>
            </w:pPr>
            <w:bookmarkStart w:id="6" w:name="_Hlk110868128"/>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用户激活次数的分配，软件管理与服务平台需要支持不同身份类型用户在注册的时候进行激活次数的自动分配；管理员可以通过后台对用户的激活次数手动进行分配；用户可以通过激活客户端方便的进行新的激活次数的申请，用户的激活次数申请，在后台管理员审核通过后正式下发。</w:t>
            </w:r>
          </w:p>
          <w:bookmarkEnd w:id="6"/>
          <w:p>
            <w:pPr>
              <w:pStyle w:val="93"/>
              <w:numPr>
                <w:ilvl w:val="0"/>
                <w:numId w:val="0"/>
              </w:numPr>
              <w:snapToGrid w:val="0"/>
              <w:spacing w:line="400" w:lineRule="exact"/>
              <w:ind w:leftChars="0"/>
              <w:rPr>
                <w:rFonts w:ascii="宋体" w:hAnsi="宋体" w:cs="宋体"/>
                <w:color w:val="auto"/>
                <w:kern w:val="0"/>
                <w:sz w:val="24"/>
                <w:highlight w:val="none"/>
              </w:rPr>
            </w:pPr>
            <w:bookmarkStart w:id="7" w:name="_Hlk110868237"/>
            <w:r>
              <w:rPr>
                <w:rFonts w:hint="eastAsia" w:ascii="宋体" w:hAnsi="宋体" w:cs="宋体"/>
                <w:color w:val="auto"/>
                <w:kern w:val="0"/>
                <w:sz w:val="24"/>
                <w:highlight w:val="none"/>
                <w:lang w:val="en-US" w:eastAsia="zh-CN"/>
              </w:rPr>
              <w:t>13、</w:t>
            </w:r>
            <w:r>
              <w:rPr>
                <w:rFonts w:hint="eastAsia" w:ascii="宋体" w:hAnsi="宋体" w:cs="宋体"/>
                <w:color w:val="auto"/>
                <w:kern w:val="0"/>
                <w:sz w:val="24"/>
                <w:highlight w:val="none"/>
              </w:rPr>
              <w:t>授权模式，用户的激活次数授权模式也应当符合多级部门管理的模式，即，本级部门的激活数量上限，是分配给下级部门及用户的激活次数的上限。</w:t>
            </w:r>
          </w:p>
          <w:bookmarkEnd w:id="7"/>
          <w:p>
            <w:pPr>
              <w:pStyle w:val="93"/>
              <w:numPr>
                <w:ilvl w:val="0"/>
                <w:numId w:val="0"/>
              </w:numPr>
              <w:snapToGrid w:val="0"/>
              <w:spacing w:line="400" w:lineRule="exact"/>
              <w:ind w:leftChars="0"/>
              <w:rPr>
                <w:rFonts w:ascii="宋体" w:hAnsi="宋体" w:cs="宋体"/>
                <w:color w:val="auto"/>
                <w:kern w:val="0"/>
                <w:sz w:val="24"/>
                <w:highlight w:val="none"/>
              </w:rPr>
            </w:pPr>
            <w:bookmarkStart w:id="8" w:name="_Hlk110868264"/>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激活方式，在用户使用统一身份认证系统账号密码登录以后，直接通过点击即可完成整个激活操作，无需用户记忆任何其他激活码和代码。且一旦发生激活问题，激活客户端应当给出简单快捷的解决方案。</w:t>
            </w:r>
          </w:p>
          <w:bookmarkEnd w:id="8"/>
          <w:p>
            <w:pPr>
              <w:pStyle w:val="93"/>
              <w:numPr>
                <w:ilvl w:val="0"/>
                <w:numId w:val="0"/>
              </w:numPr>
              <w:snapToGrid w:val="0"/>
              <w:spacing w:line="400" w:lineRule="exact"/>
              <w:ind w:leftChars="0"/>
              <w:rPr>
                <w:rFonts w:ascii="宋体" w:hAnsi="宋体" w:cs="宋体"/>
                <w:color w:val="auto"/>
                <w:kern w:val="0"/>
                <w:sz w:val="24"/>
                <w:highlight w:val="none"/>
              </w:rPr>
            </w:pPr>
            <w:bookmarkStart w:id="9" w:name="_Hlk110868508"/>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软件管理与服务平台应当支持实验室、机房等大批量的计算机激活，激活过程中，机房的客户机需要能在无人干预的情况下自动完成激活操作。</w:t>
            </w:r>
          </w:p>
          <w:bookmarkEnd w:id="9"/>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整个激活过程，应当保证不泄露（包括秘钥在内）任何的涉密信息。</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激活客户端应当保证无法被反编译，以避免因为激活客户端被反编译而导致的关键数据或参数的泄露。</w:t>
            </w:r>
          </w:p>
          <w:p>
            <w:pPr>
              <w:pStyle w:val="93"/>
              <w:numPr>
                <w:ilvl w:val="0"/>
                <w:numId w:val="0"/>
              </w:numPr>
              <w:snapToGrid w:val="0"/>
              <w:spacing w:line="400" w:lineRule="exact"/>
              <w:ind w:leftChars="0"/>
              <w:rPr>
                <w:rFonts w:ascii="宋体" w:hAnsi="宋体" w:cs="宋体"/>
                <w:color w:val="auto"/>
                <w:kern w:val="0"/>
                <w:sz w:val="24"/>
                <w:highlight w:val="none"/>
              </w:rPr>
            </w:pPr>
            <w:bookmarkStart w:id="10" w:name="_Hlk110868613"/>
            <w:r>
              <w:rPr>
                <w:rFonts w:hint="eastAsia" w:ascii="宋体" w:hAnsi="宋体" w:cs="宋体"/>
                <w:color w:val="auto"/>
                <w:kern w:val="0"/>
                <w:sz w:val="24"/>
                <w:highlight w:val="none"/>
                <w:lang w:val="en-US" w:eastAsia="zh-CN"/>
              </w:rPr>
              <w:t>18、</w:t>
            </w:r>
            <w:r>
              <w:rPr>
                <w:rFonts w:hint="eastAsia" w:ascii="宋体" w:hAnsi="宋体" w:cs="宋体"/>
                <w:color w:val="auto"/>
                <w:kern w:val="0"/>
                <w:sz w:val="24"/>
                <w:highlight w:val="none"/>
              </w:rPr>
              <w:t xml:space="preserve">激活客户端应当是多功能的集成体，用户一次安装可拥有多种功能，激活客户端至少应道包括的功能有： </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正版软件的激活功能。</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系统自动更新功能。</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驱动备份功能。</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软件管理功能。</w:t>
            </w:r>
          </w:p>
          <w:bookmarkEnd w:id="10"/>
          <w:p>
            <w:pPr>
              <w:pStyle w:val="93"/>
              <w:numPr>
                <w:ilvl w:val="0"/>
                <w:numId w:val="0"/>
              </w:numPr>
              <w:snapToGrid w:val="0"/>
              <w:spacing w:line="400" w:lineRule="exact"/>
              <w:ind w:leftChars="0"/>
              <w:rPr>
                <w:rFonts w:ascii="宋体" w:hAnsi="宋体" w:cs="宋体"/>
                <w:color w:val="auto"/>
                <w:kern w:val="0"/>
                <w:sz w:val="24"/>
                <w:highlight w:val="none"/>
              </w:rPr>
            </w:pPr>
            <w:bookmarkStart w:id="11" w:name="_Hlk110868642"/>
            <w:r>
              <w:rPr>
                <w:rFonts w:hint="eastAsia" w:ascii="宋体" w:hAnsi="宋体" w:cs="宋体"/>
                <w:color w:val="auto"/>
                <w:kern w:val="0"/>
                <w:sz w:val="24"/>
                <w:highlight w:val="none"/>
                <w:lang w:val="en-US" w:eastAsia="zh-CN"/>
              </w:rPr>
              <w:t>19、</w:t>
            </w:r>
            <w:r>
              <w:rPr>
                <w:rFonts w:hint="eastAsia" w:ascii="宋体" w:hAnsi="宋体" w:cs="宋体"/>
                <w:color w:val="auto"/>
                <w:kern w:val="0"/>
                <w:sz w:val="24"/>
                <w:highlight w:val="none"/>
              </w:rPr>
              <w:t>激活客户端应当提供持续的升级服务，升级服务应当是在激活客户端检测到最新版本的时候自动完成。</w:t>
            </w:r>
          </w:p>
          <w:bookmarkEnd w:id="11"/>
          <w:p>
            <w:pPr>
              <w:pStyle w:val="93"/>
              <w:numPr>
                <w:ilvl w:val="0"/>
                <w:numId w:val="0"/>
              </w:numPr>
              <w:snapToGrid w:val="0"/>
              <w:spacing w:line="400" w:lineRule="exact"/>
              <w:ind w:leftChars="0"/>
              <w:rPr>
                <w:rFonts w:ascii="宋体" w:hAnsi="宋体" w:cs="宋体"/>
                <w:color w:val="auto"/>
                <w:kern w:val="0"/>
                <w:sz w:val="24"/>
                <w:highlight w:val="none"/>
              </w:rPr>
            </w:pPr>
            <w:bookmarkStart w:id="12" w:name="_Hlk110868705"/>
            <w:r>
              <w:rPr>
                <w:rFonts w:hint="eastAsia" w:ascii="宋体" w:hAnsi="宋体" w:cs="宋体"/>
                <w:color w:val="auto"/>
                <w:kern w:val="0"/>
                <w:sz w:val="24"/>
                <w:highlight w:val="none"/>
                <w:lang w:val="en-US" w:eastAsia="zh-CN"/>
              </w:rPr>
              <w:t>20、</w:t>
            </w:r>
            <w:r>
              <w:rPr>
                <w:rFonts w:hint="eastAsia" w:ascii="宋体" w:hAnsi="宋体" w:cs="宋体"/>
                <w:color w:val="auto"/>
                <w:kern w:val="0"/>
                <w:sz w:val="24"/>
                <w:highlight w:val="none"/>
              </w:rPr>
              <w:t>客户端应具备在线报障功能，可在客户端输入故障描述与联系方式提交后后台即可收到报障信息第一时间联系用户排查处理故障。</w:t>
            </w:r>
          </w:p>
          <w:bookmarkEnd w:id="12"/>
          <w:p>
            <w:pPr>
              <w:pStyle w:val="93"/>
              <w:numPr>
                <w:ilvl w:val="0"/>
                <w:numId w:val="0"/>
              </w:numPr>
              <w:snapToGrid w:val="0"/>
              <w:spacing w:line="400" w:lineRule="exact"/>
              <w:ind w:leftChars="0"/>
              <w:rPr>
                <w:rFonts w:ascii="宋体" w:hAnsi="宋体" w:cs="宋体"/>
                <w:color w:val="auto"/>
                <w:kern w:val="0"/>
                <w:sz w:val="24"/>
                <w:highlight w:val="none"/>
              </w:rPr>
            </w:pPr>
            <w:bookmarkStart w:id="13" w:name="_Hlk110869067"/>
            <w:r>
              <w:rPr>
                <w:rFonts w:hint="eastAsia" w:ascii="宋体" w:hAnsi="宋体" w:cs="宋体"/>
                <w:color w:val="auto"/>
                <w:kern w:val="0"/>
                <w:sz w:val="24"/>
                <w:highlight w:val="none"/>
                <w:lang w:val="en-US" w:eastAsia="zh-CN"/>
              </w:rPr>
              <w:t>21、</w:t>
            </w:r>
            <w:r>
              <w:rPr>
                <w:rFonts w:hint="eastAsia" w:ascii="宋体" w:hAnsi="宋体" w:cs="宋体"/>
                <w:color w:val="auto"/>
                <w:kern w:val="0"/>
                <w:sz w:val="24"/>
                <w:highlight w:val="none"/>
              </w:rPr>
              <w:t>客户端应兼容64位与32位操作系统，并能够实现绿色解压运行免安装。</w:t>
            </w:r>
          </w:p>
          <w:bookmarkEnd w:id="13"/>
          <w:p>
            <w:pPr>
              <w:pStyle w:val="93"/>
              <w:numPr>
                <w:ilvl w:val="0"/>
                <w:numId w:val="0"/>
              </w:numPr>
              <w:snapToGrid w:val="0"/>
              <w:spacing w:line="400" w:lineRule="exact"/>
              <w:ind w:leftChars="0"/>
              <w:rPr>
                <w:rFonts w:ascii="宋体" w:hAnsi="宋体" w:cs="宋体"/>
                <w:color w:val="auto"/>
                <w:kern w:val="0"/>
                <w:sz w:val="24"/>
                <w:highlight w:val="none"/>
              </w:rPr>
            </w:pPr>
            <w:bookmarkStart w:id="14" w:name="_Hlk110869485"/>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对正版化平台提供下载的软件应隐藏真实下载路径，并对下载次数进行限制。</w:t>
            </w:r>
          </w:p>
          <w:bookmarkEnd w:id="14"/>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23、</w:t>
            </w:r>
            <w:r>
              <w:rPr>
                <w:rFonts w:hint="eastAsia" w:ascii="宋体" w:hAnsi="宋体" w:cs="宋体"/>
                <w:color w:val="auto"/>
                <w:kern w:val="0"/>
                <w:sz w:val="24"/>
                <w:highlight w:val="none"/>
              </w:rPr>
              <w:t>软件管理与服</w:t>
            </w:r>
            <w:r>
              <w:rPr>
                <w:rFonts w:hint="eastAsia" w:ascii="宋体" w:hAnsi="宋体" w:cs="宋体"/>
                <w:color w:val="auto"/>
                <w:kern w:val="0"/>
                <w:sz w:val="24"/>
                <w:highlight w:val="none"/>
              </w:rPr>
              <w:t xml:space="preserve">务平台提供商一年应当提供不少于4次的更新服务，服务内容应当包括：软件、文档、视频资料更新；软件管理与服务平台定制开发；身份认证地接；软件管理与服务平台系统优化； </w:t>
            </w:r>
          </w:p>
          <w:p>
            <w:pPr>
              <w:pStyle w:val="93"/>
              <w:numPr>
                <w:ilvl w:val="0"/>
                <w:numId w:val="0"/>
              </w:numPr>
              <w:snapToGrid w:val="0"/>
              <w:spacing w:line="400" w:lineRule="exact"/>
              <w:ind w:leftChars="0"/>
              <w:rPr>
                <w:rFonts w:ascii="宋体" w:hAnsi="宋体" w:cs="宋体"/>
                <w:color w:val="auto"/>
                <w:kern w:val="0"/>
                <w:sz w:val="24"/>
                <w:highlight w:val="none"/>
              </w:rPr>
            </w:pPr>
            <w:bookmarkStart w:id="15" w:name="_Hlk110869164"/>
            <w:r>
              <w:rPr>
                <w:rFonts w:hint="eastAsia" w:ascii="宋体" w:hAnsi="宋体" w:cs="宋体"/>
                <w:color w:val="auto"/>
                <w:kern w:val="0"/>
                <w:sz w:val="24"/>
                <w:highlight w:val="none"/>
                <w:lang w:val="en-US" w:eastAsia="zh-CN"/>
              </w:rPr>
              <w:t>24、</w:t>
            </w:r>
            <w:r>
              <w:rPr>
                <w:rFonts w:hint="eastAsia" w:ascii="宋体" w:hAnsi="宋体" w:cs="宋体"/>
                <w:color w:val="auto"/>
                <w:kern w:val="0"/>
                <w:sz w:val="24"/>
                <w:highlight w:val="none"/>
              </w:rPr>
              <w:t>补丁升级，软件管理与服务平台需要包含操作系统和办公软件的补丁升级服务。为了提高补丁服务的工作效率，软件管理与服务平台提供商，应当支持为本校在校内部署一套补丁服务器。</w:t>
            </w:r>
          </w:p>
          <w:bookmarkEnd w:id="15"/>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25、</w:t>
            </w:r>
            <w:r>
              <w:rPr>
                <w:rFonts w:hint="eastAsia" w:ascii="宋体" w:hAnsi="宋体" w:cs="宋体"/>
                <w:color w:val="auto"/>
                <w:kern w:val="0"/>
                <w:sz w:val="24"/>
                <w:highlight w:val="none"/>
              </w:rPr>
              <w:t>文档内容，软件管理与服务平台应当提供一套包括操作系统和办公软件在使用过程中的常见问题解决方案、激活常见问题处理方案的帮助文档，并且每年的更新次数不少于2次。</w:t>
            </w:r>
          </w:p>
          <w:p>
            <w:pPr>
              <w:pStyle w:val="93"/>
              <w:numPr>
                <w:ilvl w:val="0"/>
                <w:numId w:val="0"/>
              </w:numPr>
              <w:snapToGrid w:val="0"/>
              <w:spacing w:line="400" w:lineRule="exact"/>
              <w:ind w:leftChars="0"/>
              <w:rPr>
                <w:rFonts w:ascii="宋体" w:hAnsi="宋体" w:cs="宋体"/>
                <w:color w:val="auto"/>
                <w:kern w:val="0"/>
                <w:sz w:val="24"/>
                <w:highlight w:val="none"/>
              </w:rPr>
            </w:pPr>
            <w:bookmarkStart w:id="16" w:name="_Hlk110869244"/>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学习资料，软件管理与服务平台应当提供平台操作系统的和办公软件的使用技巧和方法的文档和视频资料。</w:t>
            </w:r>
          </w:p>
          <w:bookmarkEnd w:id="16"/>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安装教程，软件管理与服务平台应当提供一套操作系统和办公软件的安装视频和文档的详细教程。</w:t>
            </w:r>
          </w:p>
          <w:p>
            <w:pPr>
              <w:pStyle w:val="93"/>
              <w:numPr>
                <w:ilvl w:val="0"/>
                <w:numId w:val="0"/>
              </w:numPr>
              <w:snapToGrid w:val="0"/>
              <w:spacing w:line="400" w:lineRule="exact"/>
              <w:ind w:leftChars="0"/>
              <w:rPr>
                <w:rFonts w:ascii="宋体" w:hAnsi="宋体" w:cs="宋体"/>
                <w:color w:val="auto"/>
                <w:kern w:val="0"/>
                <w:sz w:val="24"/>
                <w:highlight w:val="none"/>
              </w:rPr>
            </w:pPr>
            <w:bookmarkStart w:id="17" w:name="_Hlk110869517"/>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自主软件管理，本校管理员要能通过软件管理与服务平台的管理后台，自助管理本校的其他软件资源，例如，MATLAB、AutoCAD等软件资源。</w:t>
            </w:r>
          </w:p>
          <w:bookmarkEnd w:id="17"/>
          <w:p>
            <w:pPr>
              <w:pStyle w:val="93"/>
              <w:numPr>
                <w:ilvl w:val="0"/>
                <w:numId w:val="0"/>
              </w:numPr>
              <w:snapToGrid w:val="0"/>
              <w:spacing w:line="400" w:lineRule="exact"/>
              <w:ind w:leftChars="0"/>
              <w:rPr>
                <w:rFonts w:ascii="宋体" w:hAnsi="宋体" w:cs="宋体"/>
                <w:color w:val="auto"/>
                <w:kern w:val="0"/>
                <w:sz w:val="24"/>
                <w:highlight w:val="none"/>
              </w:rPr>
            </w:pPr>
            <w:bookmarkStart w:id="18" w:name="_Hlk110869567"/>
            <w:r>
              <w:rPr>
                <w:rFonts w:hint="eastAsia" w:ascii="宋体" w:hAnsi="宋体" w:cs="宋体"/>
                <w:color w:val="auto"/>
                <w:kern w:val="0"/>
                <w:sz w:val="24"/>
                <w:highlight w:val="none"/>
                <w:lang w:val="en-US" w:eastAsia="zh-CN"/>
              </w:rPr>
              <w:t>29、</w:t>
            </w:r>
            <w:r>
              <w:rPr>
                <w:rFonts w:hint="eastAsia" w:ascii="宋体" w:hAnsi="宋体" w:cs="宋体"/>
                <w:color w:val="auto"/>
                <w:kern w:val="0"/>
                <w:sz w:val="24"/>
                <w:highlight w:val="none"/>
              </w:rPr>
              <w:t xml:space="preserve">软件管理与服务平台应当对用户的下载、激活、注册、激活次数分配等数据进行实时的记录，并且按照精细时间、软件及软件类型、用户身份类型及部门、激活状态等元素进行多维度的使用统计。 </w:t>
            </w:r>
          </w:p>
          <w:bookmarkEnd w:id="18"/>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cs="宋体"/>
                <w:color w:val="auto"/>
                <w:kern w:val="0"/>
                <w:sz w:val="24"/>
                <w:highlight w:val="none"/>
              </w:rPr>
              <w:t>软件管理与服务平台的系统网站（包括管理后台），应当兼容不同的浏览器，并且可以根据本校的需求进行一定的定制，以便与本校的一贯风格保持一致。</w:t>
            </w:r>
          </w:p>
          <w:p>
            <w:pPr>
              <w:pStyle w:val="93"/>
              <w:numPr>
                <w:ilvl w:val="0"/>
                <w:numId w:val="0"/>
              </w:numPr>
              <w:snapToGrid w:val="0"/>
              <w:spacing w:line="400" w:lineRule="exact"/>
              <w:ind w:leftChars="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31、</w:t>
            </w:r>
            <w:r>
              <w:rPr>
                <w:rFonts w:hint="eastAsia" w:ascii="宋体" w:hAnsi="宋体" w:cs="宋体"/>
                <w:color w:val="auto"/>
                <w:kern w:val="0"/>
                <w:sz w:val="24"/>
                <w:highlight w:val="none"/>
              </w:rPr>
              <w:t>软件管理与服务平台应当对包括激活客户端在内的功能进行每年不少于一次的平台升级服务。</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32、</w:t>
            </w:r>
            <w:r>
              <w:rPr>
                <w:rFonts w:hint="eastAsia" w:ascii="宋体" w:hAnsi="宋体" w:cs="宋体"/>
                <w:color w:val="auto"/>
                <w:kern w:val="0"/>
                <w:sz w:val="24"/>
                <w:highlight w:val="none"/>
              </w:rPr>
              <w:t>软件管理与服务平台提供的服务，应当符合第三方软件提供公司的使用管理规范，以避免本校因为在系统和软件的使用过程中，因为不符合第三方软件提供商的软件使用规定而产生的软件使用规范问题。</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33、</w:t>
            </w:r>
            <w:r>
              <w:rPr>
                <w:rFonts w:hint="eastAsia" w:ascii="宋体" w:hAnsi="宋体" w:cs="宋体"/>
                <w:color w:val="auto"/>
                <w:kern w:val="0"/>
                <w:sz w:val="24"/>
                <w:highlight w:val="none"/>
              </w:rPr>
              <w:t>数据的存储和传输，软件管理与服务平台的关键数据必须进行加密存储和传输，以避免数据在存储和传输的过程中可能产生的安全隐患。</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34、</w:t>
            </w:r>
            <w:r>
              <w:rPr>
                <w:rFonts w:hint="eastAsia" w:ascii="宋体" w:hAnsi="宋体" w:cs="宋体"/>
                <w:color w:val="auto"/>
                <w:kern w:val="0"/>
                <w:sz w:val="24"/>
                <w:highlight w:val="none"/>
              </w:rPr>
              <w:t>软件管理与服务平台提供商，应当提供完备的软件管理与服务平台数据（包括软件和镜像、数据资料、日志）等在内的数据备份策略和故障恢复策略。在可能的情况下，软件管理与服务平台提供商需要进行服务器负载均衡和主从服务器的部署。</w:t>
            </w:r>
          </w:p>
          <w:p>
            <w:pPr>
              <w:pStyle w:val="93"/>
              <w:numPr>
                <w:ilvl w:val="0"/>
                <w:numId w:val="0"/>
              </w:numPr>
              <w:snapToGrid w:val="0"/>
              <w:spacing w:line="400" w:lineRule="exact"/>
              <w:ind w:leftChars="0"/>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35、</w:t>
            </w:r>
            <w:r>
              <w:rPr>
                <w:rFonts w:hint="eastAsia" w:ascii="宋体" w:hAnsi="宋体" w:cs="宋体"/>
                <w:color w:val="auto"/>
                <w:kern w:val="0"/>
                <w:sz w:val="24"/>
                <w:highlight w:val="none"/>
              </w:rPr>
              <w:t>软件管理与服务平台需要支持不少于100</w:t>
            </w:r>
            <w:r>
              <w:rPr>
                <w:rFonts w:hint="eastAsia" w:ascii="宋体" w:hAnsi="宋体" w:cs="宋体"/>
                <w:color w:val="auto"/>
                <w:kern w:val="0"/>
                <w:sz w:val="24"/>
                <w:highlight w:val="none"/>
              </w:rPr>
              <w:t>人</w:t>
            </w:r>
            <w:r>
              <w:rPr>
                <w:rFonts w:hint="eastAsia" w:ascii="宋体" w:hAnsi="宋体" w:cs="宋体"/>
                <w:color w:val="auto"/>
                <w:kern w:val="0"/>
                <w:sz w:val="24"/>
                <w:highlight w:val="none"/>
              </w:rPr>
              <w:t>的并发访问和下载。</w:t>
            </w:r>
            <w:bookmarkStart w:id="19" w:name="_Hlk110869652"/>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36、</w:t>
            </w:r>
            <w:r>
              <w:rPr>
                <w:rFonts w:hint="eastAsia" w:ascii="宋体" w:hAnsi="宋体" w:cs="宋体"/>
                <w:color w:val="auto"/>
                <w:kern w:val="0"/>
                <w:sz w:val="24"/>
                <w:highlight w:val="none"/>
              </w:rPr>
              <w:t>本校管理员可以通过软件管理与服务平台的管理后台对系统的以下数据进行自主管理和维护：</w:t>
            </w:r>
          </w:p>
          <w:p>
            <w:pPr>
              <w:pStyle w:val="93"/>
              <w:numPr>
                <w:ilvl w:val="0"/>
                <w:numId w:val="0"/>
              </w:numPr>
              <w:snapToGrid w:val="0"/>
              <w:spacing w:line="400" w:lineRule="exact"/>
              <w:ind w:left="420"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A)</w:t>
            </w:r>
            <w:r>
              <w:rPr>
                <w:rFonts w:hint="eastAsia" w:ascii="宋体" w:hAnsi="宋体" w:cs="宋体"/>
                <w:color w:val="auto"/>
                <w:kern w:val="0"/>
                <w:sz w:val="24"/>
                <w:highlight w:val="none"/>
              </w:rPr>
              <w:t>软件管理与服务平台网站的banner、通告、技术支持联系信息。</w:t>
            </w:r>
          </w:p>
          <w:p>
            <w:pPr>
              <w:pStyle w:val="93"/>
              <w:numPr>
                <w:ilvl w:val="0"/>
                <w:numId w:val="0"/>
              </w:numPr>
              <w:snapToGrid w:val="0"/>
              <w:spacing w:line="400" w:lineRule="exact"/>
              <w:ind w:left="420"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B)</w:t>
            </w:r>
            <w:r>
              <w:rPr>
                <w:rFonts w:hint="eastAsia" w:ascii="宋体" w:hAnsi="宋体" w:cs="宋体"/>
                <w:color w:val="auto"/>
                <w:kern w:val="0"/>
                <w:sz w:val="24"/>
                <w:highlight w:val="none"/>
              </w:rPr>
              <w:t>新增、编辑、删除常见问题、帮助文档、学习资源（包括文档资源和视频资源）、通知公告等内容。</w:t>
            </w:r>
          </w:p>
          <w:bookmarkEnd w:id="19"/>
          <w:p>
            <w:pPr>
              <w:pStyle w:val="93"/>
              <w:numPr>
                <w:ilvl w:val="0"/>
                <w:numId w:val="0"/>
              </w:numPr>
              <w:snapToGrid w:val="0"/>
              <w:spacing w:line="400" w:lineRule="exact"/>
              <w:ind w:leftChars="0"/>
              <w:rPr>
                <w:rFonts w:ascii="宋体" w:hAnsi="宋体" w:cs="宋体"/>
                <w:color w:val="auto"/>
                <w:kern w:val="0"/>
                <w:sz w:val="24"/>
                <w:highlight w:val="none"/>
              </w:rPr>
            </w:pPr>
            <w:bookmarkStart w:id="20" w:name="_Hlk110869685"/>
            <w:r>
              <w:rPr>
                <w:rFonts w:hint="eastAsia" w:ascii="宋体" w:hAnsi="宋体" w:cs="宋体"/>
                <w:color w:val="auto"/>
                <w:kern w:val="0"/>
                <w:sz w:val="24"/>
                <w:highlight w:val="none"/>
                <w:lang w:val="en-US" w:eastAsia="zh-CN"/>
              </w:rPr>
              <w:t>37、</w:t>
            </w:r>
            <w:r>
              <w:rPr>
                <w:rFonts w:hint="eastAsia" w:ascii="宋体" w:hAnsi="宋体" w:cs="宋体"/>
                <w:color w:val="auto"/>
                <w:kern w:val="0"/>
                <w:sz w:val="24"/>
                <w:highlight w:val="none"/>
              </w:rPr>
              <w:t>日志管理，日志管理应当包括用户的登录日志（包括登录成功和失败以及登录失败的原因），管理员的登录日志（包括登录成功和失败以及登录失败的原因）、管理员操作日志等，登录日志应当包括登录的账号、时间、ip、登录结果、登录失败原因；操作日志应当包括操作的账号、时间、ip、操作的功能模块、操作的内容。并提供相应的查询界面，可以按照时段、账号、IP等条件进行查询备份和归档，以便审计使用。</w:t>
            </w:r>
          </w:p>
          <w:bookmarkEnd w:id="20"/>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38、</w:t>
            </w:r>
            <w:r>
              <w:rPr>
                <w:rFonts w:hint="eastAsia" w:ascii="宋体" w:hAnsi="宋体" w:cs="宋体"/>
                <w:color w:val="auto"/>
                <w:kern w:val="0"/>
                <w:sz w:val="24"/>
                <w:highlight w:val="none"/>
              </w:rPr>
              <w:t>系统巡检，软件管理与服务平台服务提供商应当提供对系统的定期巡检，巡检内容包括（但不限于）软件管理与服务平台服务器运行情况监测、KMS服务器检查、激活测试、下载测试、系统及应用服务系统的补丁更新、数据备份检查。巡检频率不得少于1个</w:t>
            </w:r>
            <w:r>
              <w:rPr>
                <w:rFonts w:hint="eastAsia" w:ascii="宋体" w:hAnsi="宋体" w:cs="宋体"/>
                <w:color w:val="auto"/>
                <w:kern w:val="0"/>
                <w:sz w:val="24"/>
                <w:highlight w:val="none"/>
              </w:rPr>
              <w:t>季度</w:t>
            </w:r>
            <w:r>
              <w:rPr>
                <w:rFonts w:hint="eastAsia" w:ascii="宋体" w:hAnsi="宋体" w:cs="宋体"/>
                <w:color w:val="auto"/>
                <w:kern w:val="0"/>
                <w:sz w:val="24"/>
                <w:highlight w:val="none"/>
              </w:rPr>
              <w:t>每次。每次巡检应当出具相应的巡检报告，并将巡检包括发送给负责系统对接和管理的老师。巡检发现问题应当在24小时内完成处理。</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39、</w:t>
            </w:r>
            <w:r>
              <w:rPr>
                <w:rFonts w:hint="eastAsia" w:ascii="宋体" w:hAnsi="宋体" w:cs="宋体"/>
                <w:color w:val="auto"/>
                <w:kern w:val="0"/>
                <w:sz w:val="24"/>
                <w:highlight w:val="none"/>
              </w:rPr>
              <w:t>知识产权要求</w:t>
            </w:r>
          </w:p>
          <w:p>
            <w:pPr>
              <w:snapToGrid w:val="0"/>
              <w:spacing w:line="400" w:lineRule="exact"/>
              <w:ind w:left="360" w:firstLine="420"/>
              <w:rPr>
                <w:rFonts w:ascii="宋体" w:hAnsi="宋体" w:cs="宋体"/>
                <w:color w:val="auto"/>
                <w:kern w:val="0"/>
                <w:sz w:val="24"/>
                <w:highlight w:val="none"/>
              </w:rPr>
            </w:pPr>
            <w:r>
              <w:rPr>
                <w:rFonts w:hint="eastAsia" w:ascii="宋体" w:hAnsi="宋体" w:cs="宋体"/>
                <w:color w:val="auto"/>
                <w:kern w:val="0"/>
                <w:sz w:val="24"/>
                <w:highlight w:val="none"/>
              </w:rPr>
              <w:t>软件管理与服务平台服务提供商，保证其归功的服务不得侵犯任何第三方的合法知识产权以及其他权益。必须引导本校合规的使用第三方公司的软件商品，如果是由于知识产权以及第三方公司的软件合规导致的第三方追责，本校概不负责，一切责任由软件管理与服务平台服务提供商负责。</w:t>
            </w:r>
          </w:p>
          <w:p>
            <w:pPr>
              <w:pStyle w:val="93"/>
              <w:numPr>
                <w:ilvl w:val="0"/>
                <w:numId w:val="0"/>
              </w:numPr>
              <w:snapToGrid w:val="0"/>
              <w:spacing w:line="400" w:lineRule="exact"/>
              <w:ind w:leftChars="0"/>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40、</w:t>
            </w:r>
            <w:r>
              <w:rPr>
                <w:rFonts w:hint="eastAsia" w:ascii="宋体" w:hAnsi="宋体" w:cs="宋体"/>
                <w:color w:val="auto"/>
                <w:kern w:val="0"/>
                <w:sz w:val="24"/>
                <w:highlight w:val="none"/>
              </w:rPr>
              <w:t>平台系统支持及服务响应标准</w:t>
            </w:r>
          </w:p>
          <w:p>
            <w:pPr>
              <w:pStyle w:val="93"/>
              <w:snapToGrid w:val="0"/>
              <w:spacing w:line="400" w:lineRule="exact"/>
              <w:ind w:left="360"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针对校内用户在使用软件管理与服务平台提供的各项功能中遇到的各种问题提供全面的技术支持服务，要求达到：</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向校内用户提供软件管理与服务平台咨询使用提供5x8的技术支持服务；</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提供400技术专线服务，以电话、即时通讯、电子邮件的方式为校内用户提供技术支持服务；</w:t>
            </w:r>
          </w:p>
          <w:p>
            <w:pPr>
              <w:pStyle w:val="93"/>
              <w:numPr>
                <w:ilvl w:val="1"/>
                <w:numId w:val="5"/>
              </w:numPr>
              <w:snapToGrid w:val="0"/>
              <w:spacing w:line="400" w:lineRule="exact"/>
              <w:ind w:firstLineChars="0"/>
              <w:rPr>
                <w:rFonts w:ascii="宋体" w:hAnsi="宋体" w:cs="宋体"/>
                <w:color w:val="auto"/>
                <w:kern w:val="0"/>
                <w:sz w:val="24"/>
                <w:highlight w:val="none"/>
              </w:rPr>
            </w:pPr>
            <w:r>
              <w:rPr>
                <w:rFonts w:hint="eastAsia" w:ascii="宋体" w:hAnsi="宋体" w:cs="宋体"/>
                <w:color w:val="auto"/>
                <w:kern w:val="0"/>
                <w:sz w:val="24"/>
                <w:highlight w:val="none"/>
              </w:rPr>
              <w:t xml:space="preserve">服务需要做到即时响应，问题解决时间不得超过24小时； </w:t>
            </w:r>
          </w:p>
          <w:p>
            <w:pPr>
              <w:pStyle w:val="93"/>
              <w:snapToGrid w:val="0"/>
              <w:spacing w:line="400" w:lineRule="exact"/>
              <w:ind w:firstLine="0" w:firstLineChars="0"/>
              <w:rPr>
                <w:rFonts w:ascii="宋体" w:hAnsi="宋体" w:cs="宋体"/>
                <w:color w:val="auto"/>
                <w:kern w:val="0"/>
                <w:sz w:val="24"/>
                <w:highlight w:val="none"/>
              </w:rPr>
            </w:pPr>
            <w:r>
              <w:rPr>
                <w:rFonts w:hint="eastAsia" w:ascii="宋体" w:hAnsi="宋体" w:cs="宋体"/>
                <w:color w:val="auto"/>
                <w:kern w:val="0"/>
                <w:sz w:val="24"/>
                <w:highlight w:val="none"/>
              </w:rPr>
              <w:t>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培训要求：软件管理与服务平台服务提供商，提供每年不少于2次的培训服务，培训内容应当包括最新操作系统，办公软件、软件管理与服务平台的使用、软件管理与服务平台管理员、软件管理与服务平台系统维护工作人员的培训，并制定培训计划和方案文档以及培训的其他相关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pPr>
              <w:snapToGrid w:val="0"/>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66" w:type="dxa"/>
          </w:tcPr>
          <w:p>
            <w:pPr>
              <w:widowControl/>
              <w:snapToGrid w:val="0"/>
              <w:spacing w:line="400" w:lineRule="exact"/>
              <w:jc w:val="left"/>
              <w:rPr>
                <w:rFonts w:ascii="宋体" w:hAnsi="宋体" w:cs="宋体"/>
                <w:color w:val="auto"/>
                <w:kern w:val="0"/>
                <w:sz w:val="24"/>
                <w:highlight w:val="none"/>
              </w:rPr>
            </w:pPr>
            <w:r>
              <w:rPr>
                <w:rFonts w:hint="eastAsia" w:ascii="宋体" w:hAnsi="宋体" w:cs="宋体"/>
                <w:color w:val="auto"/>
                <w:sz w:val="24"/>
                <w:highlight w:val="none"/>
              </w:rPr>
              <w:t>360杀毒软件</w:t>
            </w:r>
          </w:p>
        </w:tc>
        <w:tc>
          <w:tcPr>
            <w:tcW w:w="966" w:type="dxa"/>
          </w:tcPr>
          <w:p>
            <w:pPr>
              <w:snapToGrid w:val="0"/>
              <w:spacing w:line="400" w:lineRule="exact"/>
              <w:jc w:val="left"/>
              <w:rPr>
                <w:rFonts w:ascii="宋体" w:hAnsi="宋体" w:cs="宋体"/>
                <w:color w:val="auto"/>
                <w:kern w:val="0"/>
                <w:sz w:val="24"/>
                <w:highlight w:val="none"/>
              </w:rPr>
            </w:pPr>
          </w:p>
        </w:tc>
        <w:tc>
          <w:tcPr>
            <w:tcW w:w="7111" w:type="dxa"/>
            <w:vAlign w:val="center"/>
          </w:tcPr>
          <w:tbl>
            <w:tblPr>
              <w:tblStyle w:val="21"/>
              <w:tblW w:w="4998" w:type="pct"/>
              <w:tblInd w:w="0" w:type="dxa"/>
              <w:tblLayout w:type="fixed"/>
              <w:tblCellMar>
                <w:top w:w="0" w:type="dxa"/>
                <w:left w:w="108" w:type="dxa"/>
                <w:bottom w:w="0" w:type="dxa"/>
                <w:right w:w="108" w:type="dxa"/>
              </w:tblCellMar>
            </w:tblPr>
            <w:tblGrid>
              <w:gridCol w:w="1432"/>
              <w:gridCol w:w="2812"/>
              <w:gridCol w:w="2648"/>
            </w:tblGrid>
            <w:tr>
              <w:tblPrEx>
                <w:tblCellMar>
                  <w:top w:w="0" w:type="dxa"/>
                  <w:left w:w="108" w:type="dxa"/>
                  <w:bottom w:w="0" w:type="dxa"/>
                  <w:right w:w="108" w:type="dxa"/>
                </w:tblCellMar>
              </w:tblPrEx>
              <w:trPr>
                <w:trHeight w:val="570" w:hRule="atLeast"/>
              </w:trPr>
              <w:tc>
                <w:tcPr>
                  <w:tcW w:w="1039" w:type="pct"/>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360杀毒软件</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会员版</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4"/>
                      <w:highlight w:val="none"/>
                      <w:lang w:bidi="ar"/>
                    </w:rPr>
                  </w:pPr>
                  <w:r>
                    <w:rPr>
                      <w:rFonts w:hint="eastAsia" w:ascii="宋体" w:hAnsi="宋体" w:cs="宋体"/>
                      <w:color w:val="auto"/>
                      <w:kern w:val="0"/>
                      <w:sz w:val="24"/>
                      <w:highlight w:val="none"/>
                      <w:lang w:bidi="ar"/>
                    </w:rPr>
                    <w:t>免费版</w:t>
                  </w:r>
                </w:p>
              </w:tc>
            </w:tr>
            <w:tr>
              <w:tblPrEx>
                <w:tblCellMar>
                  <w:top w:w="0" w:type="dxa"/>
                  <w:left w:w="108" w:type="dxa"/>
                  <w:bottom w:w="0" w:type="dxa"/>
                  <w:right w:w="108" w:type="dxa"/>
                </w:tblCellMar>
              </w:tblPrEx>
              <w:trPr>
                <w:trHeight w:val="330" w:hRule="atLeast"/>
              </w:trPr>
              <w:tc>
                <w:tcPr>
                  <w:tcW w:w="103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1、</w:t>
                  </w:r>
                  <w:r>
                    <w:rPr>
                      <w:rFonts w:hint="eastAsia" w:ascii="宋体" w:hAnsi="宋体" w:cs="宋体"/>
                      <w:color w:val="auto"/>
                      <w:kern w:val="0"/>
                      <w:sz w:val="24"/>
                      <w:highlight w:val="none"/>
                      <w:lang w:bidi="ar"/>
                    </w:rPr>
                    <w:t>安装部署</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单级部署</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单级部署</w:t>
                  </w: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多级部署</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客户端离线</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服务器本地化</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330" w:hRule="atLeast"/>
              </w:trPr>
              <w:tc>
                <w:tcPr>
                  <w:tcW w:w="103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2、</w:t>
                  </w:r>
                  <w:r>
                    <w:rPr>
                      <w:rFonts w:hint="eastAsia" w:ascii="宋体" w:hAnsi="宋体" w:cs="宋体"/>
                      <w:color w:val="auto"/>
                      <w:kern w:val="0"/>
                      <w:sz w:val="24"/>
                      <w:highlight w:val="none"/>
                      <w:lang w:bidi="ar"/>
                    </w:rPr>
                    <w:t>系统支持</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winodws PC</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winodws PC</w:t>
                  </w: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Windows Server</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LINUX系统</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33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MAC系统</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产品功能</w:t>
                  </w: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安全状态展示</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产品升级管理</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r>
                    <w:rPr>
                      <w:rFonts w:hint="eastAsia" w:ascii="宋体" w:hAnsi="宋体" w:cs="宋体"/>
                      <w:color w:val="auto"/>
                      <w:kern w:val="0"/>
                      <w:sz w:val="24"/>
                      <w:highlight w:val="none"/>
                      <w:lang w:bidi="ar"/>
                    </w:rPr>
                    <w:t>产品升级管理</w:t>
                  </w: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终端防病毒</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终端防病毒</w:t>
                  </w: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漏洞和补丁管理</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漏洞和补丁管理</w:t>
                  </w:r>
                </w:p>
              </w:tc>
            </w:tr>
            <w:tr>
              <w:tblPrEx>
                <w:tblCellMar>
                  <w:top w:w="0" w:type="dxa"/>
                  <w:left w:w="108" w:type="dxa"/>
                  <w:bottom w:w="0" w:type="dxa"/>
                  <w:right w:w="108" w:type="dxa"/>
                </w:tblCellMar>
              </w:tblPrEx>
              <w:trPr>
                <w:trHeight w:val="570"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桌面加固（需另外付费）</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网络访问控制（需另外付费）</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违规外联管控（需另外付费）</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资产统计</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auto"/>
                      <w:sz w:val="24"/>
                      <w:highlight w:val="none"/>
                    </w:rPr>
                  </w:pPr>
                </w:p>
              </w:tc>
              <w:tc>
                <w:tcPr>
                  <w:tcW w:w="203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lang w:bidi="ar"/>
                    </w:rPr>
                    <w:t>日志报表</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r>
              <w:tblPrEx>
                <w:tblCellMar>
                  <w:top w:w="0" w:type="dxa"/>
                  <w:left w:w="108" w:type="dxa"/>
                  <w:bottom w:w="0" w:type="dxa"/>
                  <w:right w:w="108" w:type="dxa"/>
                </w:tblCellMar>
              </w:tblPrEx>
              <w:trPr>
                <w:trHeight w:val="285" w:hRule="atLeast"/>
              </w:trPr>
              <w:tc>
                <w:tcPr>
                  <w:tcW w:w="1039" w:type="pct"/>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ascii="宋体" w:hAnsi="宋体" w:cs="宋体"/>
                      <w:color w:val="auto"/>
                      <w:sz w:val="24"/>
                      <w:highlight w:val="none"/>
                    </w:rPr>
                  </w:pPr>
                  <w:r>
                    <w:rPr>
                      <w:rFonts w:hint="eastAsia" w:ascii="宋体" w:hAnsi="宋体" w:cs="宋体"/>
                      <w:color w:val="auto"/>
                      <w:kern w:val="0"/>
                      <w:sz w:val="24"/>
                      <w:highlight w:val="none"/>
                      <w:lang w:val="en-US" w:eastAsia="zh-CN" w:bidi="ar"/>
                    </w:rPr>
                    <w:t>4、</w:t>
                  </w:r>
                  <w:r>
                    <w:rPr>
                      <w:rFonts w:hint="eastAsia" w:ascii="宋体" w:hAnsi="宋体" w:cs="宋体"/>
                      <w:color w:val="auto"/>
                      <w:kern w:val="0"/>
                      <w:sz w:val="24"/>
                      <w:highlight w:val="none"/>
                      <w:lang w:bidi="ar"/>
                    </w:rPr>
                    <w:t>售后服务支持</w:t>
                  </w:r>
                </w:p>
              </w:tc>
              <w:tc>
                <w:tcPr>
                  <w:tcW w:w="2039" w:type="pct"/>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ascii="宋体" w:hAnsi="宋体" w:cs="宋体"/>
                      <w:color w:val="auto"/>
                      <w:sz w:val="24"/>
                      <w:highlight w:val="none"/>
                    </w:rPr>
                  </w:pPr>
                  <w:r>
                    <w:rPr>
                      <w:rFonts w:hint="eastAsia" w:ascii="宋体" w:hAnsi="宋体" w:cs="宋体"/>
                      <w:color w:val="auto"/>
                      <w:kern w:val="0"/>
                      <w:sz w:val="24"/>
                      <w:highlight w:val="none"/>
                      <w:lang w:bidi="ar"/>
                    </w:rPr>
                    <w:t>技术支持</w:t>
                  </w:r>
                </w:p>
              </w:tc>
              <w:tc>
                <w:tcPr>
                  <w:tcW w:w="192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auto"/>
                      <w:kern w:val="0"/>
                      <w:sz w:val="24"/>
                      <w:highlight w:val="none"/>
                      <w:lang w:bidi="ar"/>
                    </w:rPr>
                  </w:pPr>
                </w:p>
              </w:tc>
            </w:tr>
          </w:tbl>
          <w:p>
            <w:pPr>
              <w:pStyle w:val="93"/>
              <w:snapToGrid w:val="0"/>
              <w:spacing w:line="400" w:lineRule="exact"/>
              <w:ind w:firstLine="0" w:firstLineChars="0"/>
              <w:rPr>
                <w:rFonts w:ascii="宋体" w:hAnsi="宋体" w:cs="宋体"/>
                <w:color w:val="auto"/>
                <w:kern w:val="0"/>
                <w:sz w:val="24"/>
                <w:highlight w:val="none"/>
              </w:rPr>
            </w:pPr>
          </w:p>
          <w:p>
            <w:pPr>
              <w:pStyle w:val="93"/>
              <w:snapToGrid w:val="0"/>
              <w:spacing w:line="400" w:lineRule="exact"/>
              <w:ind w:firstLine="0" w:firstLineChars="0"/>
              <w:rPr>
                <w:rFonts w:ascii="宋体" w:hAnsi="宋体" w:cs="宋体"/>
                <w:color w:val="auto"/>
                <w:kern w:val="0"/>
                <w:sz w:val="24"/>
                <w:highlight w:val="none"/>
              </w:rPr>
            </w:pPr>
          </w:p>
        </w:tc>
      </w:tr>
    </w:tbl>
    <w:p>
      <w:pPr>
        <w:spacing w:line="400" w:lineRule="exact"/>
        <w:ind w:firstLine="480" w:firstLineChars="200"/>
        <w:rPr>
          <w:rFonts w:ascii="宋体" w:hAnsi="宋体" w:cs="宋体"/>
          <w:color w:val="auto"/>
          <w:sz w:val="24"/>
          <w:highlight w:val="none"/>
        </w:rPr>
      </w:pPr>
    </w:p>
    <w:p>
      <w:pPr>
        <w:pStyle w:val="18"/>
        <w:widowControl/>
        <w:spacing w:before="75" w:after="75" w:line="360" w:lineRule="auto"/>
        <w:rPr>
          <w:rFonts w:ascii="宋体" w:hAnsi="宋体" w:cs="宋体"/>
          <w:color w:val="auto"/>
          <w:highlight w:val="none"/>
        </w:rPr>
      </w:pPr>
      <w:r>
        <w:rPr>
          <w:rFonts w:hint="eastAsia" w:ascii="宋体" w:hAnsi="宋体" w:cs="宋体"/>
          <w:color w:val="auto"/>
          <w:highlight w:val="none"/>
        </w:rPr>
        <w:t>三、商务条件</w:t>
      </w:r>
      <w:r>
        <w:rPr>
          <w:rStyle w:val="25"/>
          <w:rFonts w:hint="eastAsia" w:ascii="宋体" w:hAnsi="宋体" w:cs="宋体"/>
          <w:color w:val="auto"/>
          <w:highlight w:val="none"/>
        </w:rPr>
        <w:t>（以“★”标示的内容为不允许负偏离的实质性要求）</w:t>
      </w:r>
    </w:p>
    <w:p>
      <w:pPr>
        <w:pStyle w:val="11"/>
        <w:snapToGrid w:val="0"/>
        <w:spacing w:line="420" w:lineRule="exact"/>
        <w:ind w:right="-313" w:rightChars="-149"/>
        <w:rPr>
          <w:rFonts w:hAnsi="宋体" w:cs="宋体"/>
          <w:color w:val="auto"/>
          <w:sz w:val="24"/>
          <w:szCs w:val="24"/>
          <w:highlight w:val="none"/>
        </w:rPr>
      </w:pPr>
      <w:r>
        <w:rPr>
          <w:rStyle w:val="25"/>
          <w:rFonts w:hint="eastAsia" w:hAnsi="宋体" w:cs="宋体"/>
          <w:color w:val="auto"/>
          <w:sz w:val="24"/>
          <w:szCs w:val="24"/>
          <w:highlight w:val="none"/>
        </w:rPr>
        <w:t>包：1</w:t>
      </w:r>
      <w:r>
        <w:rPr>
          <w:rStyle w:val="25"/>
          <w:rFonts w:hint="eastAsia" w:hAnsi="宋体" w:cs="宋体"/>
          <w:color w:val="auto"/>
          <w:sz w:val="24"/>
          <w:szCs w:val="24"/>
          <w:highlight w:val="none"/>
        </w:rPr>
        <w:br w:type="textWrapping"/>
      </w:r>
      <w:r>
        <w:rPr>
          <w:rStyle w:val="25"/>
          <w:rFonts w:hint="eastAsia" w:hAnsi="宋体" w:cs="宋体"/>
          <w:color w:val="auto"/>
          <w:sz w:val="24"/>
          <w:szCs w:val="24"/>
          <w:highlight w:val="none"/>
        </w:rPr>
        <w:t xml:space="preserve">1、交付地点：莆田市涵江区梧塘镇荔涵东大道1001号 </w:t>
      </w:r>
      <w:r>
        <w:rPr>
          <w:rStyle w:val="25"/>
          <w:rFonts w:hint="eastAsia" w:hAnsi="宋体" w:cs="宋体"/>
          <w:color w:val="auto"/>
          <w:sz w:val="24"/>
          <w:szCs w:val="24"/>
          <w:highlight w:val="none"/>
        </w:rPr>
        <w:br w:type="textWrapping"/>
      </w:r>
      <w:r>
        <w:rPr>
          <w:rStyle w:val="25"/>
          <w:rFonts w:hint="eastAsia" w:hAnsi="宋体" w:cs="宋体"/>
          <w:color w:val="auto"/>
          <w:sz w:val="24"/>
          <w:szCs w:val="24"/>
          <w:highlight w:val="none"/>
        </w:rPr>
        <w:t>2、交付时间：合同签订后 (</w:t>
      </w:r>
      <w:r>
        <w:rPr>
          <w:rStyle w:val="25"/>
          <w:rFonts w:hAnsi="宋体" w:cs="宋体"/>
          <w:color w:val="auto"/>
          <w:sz w:val="24"/>
          <w:szCs w:val="24"/>
          <w:highlight w:val="none"/>
        </w:rPr>
        <w:t>3</w:t>
      </w:r>
      <w:r>
        <w:rPr>
          <w:rStyle w:val="25"/>
          <w:rFonts w:hint="eastAsia" w:hAnsi="宋体" w:cs="宋体"/>
          <w:color w:val="auto"/>
          <w:sz w:val="24"/>
          <w:szCs w:val="24"/>
          <w:highlight w:val="none"/>
        </w:rPr>
        <w:t>0) 天内交货</w:t>
      </w:r>
    </w:p>
    <w:p>
      <w:pPr>
        <w:pStyle w:val="18"/>
        <w:widowControl/>
        <w:numPr>
          <w:ilvl w:val="0"/>
          <w:numId w:val="6"/>
        </w:numPr>
        <w:spacing w:line="440" w:lineRule="exact"/>
        <w:rPr>
          <w:rStyle w:val="25"/>
          <w:rFonts w:ascii="宋体" w:hAnsi="宋体" w:cs="宋体"/>
          <w:color w:val="auto"/>
          <w:highlight w:val="none"/>
        </w:rPr>
      </w:pPr>
      <w:r>
        <w:rPr>
          <w:rStyle w:val="25"/>
          <w:rFonts w:hint="eastAsia" w:ascii="宋体" w:hAnsi="宋体" w:cs="宋体"/>
          <w:color w:val="auto"/>
          <w:highlight w:val="none"/>
        </w:rPr>
        <w:t>交付条件：验收合格</w:t>
      </w:r>
      <w:r>
        <w:rPr>
          <w:rStyle w:val="25"/>
          <w:rFonts w:hint="eastAsia" w:ascii="宋体" w:hAnsi="宋体" w:cs="宋体"/>
          <w:color w:val="auto"/>
          <w:highlight w:val="none"/>
        </w:rPr>
        <w:br w:type="textWrapping"/>
      </w:r>
      <w:r>
        <w:rPr>
          <w:rStyle w:val="25"/>
          <w:rFonts w:hint="eastAsia" w:ascii="宋体" w:hAnsi="宋体" w:cs="宋体"/>
          <w:color w:val="auto"/>
          <w:highlight w:val="none"/>
        </w:rPr>
        <w:t>4、是否收取履约保证金： 否。</w:t>
      </w:r>
    </w:p>
    <w:p>
      <w:pPr>
        <w:pStyle w:val="18"/>
        <w:widowControl/>
        <w:spacing w:line="440" w:lineRule="exact"/>
        <w:rPr>
          <w:rFonts w:ascii="宋体" w:hAnsi="宋体" w:cs="宋体"/>
          <w:color w:val="auto"/>
          <w:highlight w:val="none"/>
        </w:rPr>
      </w:pPr>
      <w:r>
        <w:rPr>
          <w:rStyle w:val="25"/>
          <w:rFonts w:hint="eastAsia" w:ascii="宋体" w:hAnsi="宋体" w:cs="宋体"/>
          <w:color w:val="auto"/>
          <w:highlight w:val="none"/>
        </w:rPr>
        <w:t>5、是否邀请投标人参与验收：否</w:t>
      </w:r>
      <w:r>
        <w:rPr>
          <w:rStyle w:val="25"/>
          <w:rFonts w:hint="eastAsia" w:ascii="宋体" w:hAnsi="宋体" w:cs="宋体"/>
          <w:color w:val="auto"/>
          <w:highlight w:val="none"/>
        </w:rPr>
        <w:br w:type="textWrapping"/>
      </w:r>
      <w:r>
        <w:rPr>
          <w:rStyle w:val="25"/>
          <w:rFonts w:hint="eastAsia" w:ascii="宋体" w:hAnsi="宋体" w:cs="宋体"/>
          <w:color w:val="auto"/>
          <w:highlight w:val="none"/>
        </w:rPr>
        <w:t>6、验收方式数据表格</w:t>
      </w:r>
    </w:p>
    <w:tbl>
      <w:tblPr>
        <w:tblStyle w:val="21"/>
        <w:tblW w:w="866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38"/>
        <w:gridCol w:w="762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rPr>
        <w:tc>
          <w:tcPr>
            <w:tcW w:w="10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验收期次</w:t>
            </w:r>
          </w:p>
        </w:tc>
        <w:tc>
          <w:tcPr>
            <w:tcW w:w="76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5" w:hRule="atLeast"/>
        </w:trPr>
        <w:tc>
          <w:tcPr>
            <w:tcW w:w="1038"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kern w:val="0"/>
                <w:sz w:val="24"/>
                <w:highlight w:val="none"/>
              </w:rPr>
              <w:t>1</w:t>
            </w:r>
          </w:p>
        </w:tc>
        <w:tc>
          <w:tcPr>
            <w:tcW w:w="762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由湄洲湾职业技术学院组织相应部门验收，按照招标文件及合同要求执行</w:t>
            </w:r>
          </w:p>
        </w:tc>
      </w:tr>
    </w:tbl>
    <w:p>
      <w:pPr>
        <w:widowControl/>
        <w:numPr>
          <w:ilvl w:val="0"/>
          <w:numId w:val="7"/>
        </w:numPr>
        <w:spacing w:line="440" w:lineRule="exact"/>
        <w:jc w:val="left"/>
        <w:rPr>
          <w:rStyle w:val="25"/>
          <w:rFonts w:ascii="宋体" w:hAnsi="宋体" w:cs="宋体"/>
          <w:color w:val="auto"/>
          <w:kern w:val="0"/>
          <w:sz w:val="24"/>
          <w:highlight w:val="none"/>
        </w:rPr>
      </w:pPr>
      <w:r>
        <w:rPr>
          <w:rStyle w:val="25"/>
          <w:rFonts w:hint="eastAsia" w:ascii="宋体" w:hAnsi="宋体" w:cs="宋体"/>
          <w:color w:val="auto"/>
          <w:kern w:val="0"/>
          <w:sz w:val="24"/>
          <w:highlight w:val="none"/>
        </w:rPr>
        <w:t>支付方式数据表格</w:t>
      </w:r>
    </w:p>
    <w:tbl>
      <w:tblPr>
        <w:tblStyle w:val="21"/>
        <w:tblW w:w="8595"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201"/>
        <w:gridCol w:w="1716"/>
        <w:gridCol w:w="56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Header/>
          <w:tblCellSpacing w:w="0" w:type="dxa"/>
        </w:trPr>
        <w:tc>
          <w:tcPr>
            <w:tcW w:w="1201"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支付期次</w:t>
            </w:r>
          </w:p>
        </w:tc>
        <w:tc>
          <w:tcPr>
            <w:tcW w:w="1716"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支付比例(%)</w:t>
            </w:r>
          </w:p>
        </w:tc>
        <w:tc>
          <w:tcPr>
            <w:tcW w:w="5678"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s="宋体"/>
                <w:color w:val="auto"/>
                <w:kern w:val="0"/>
                <w:sz w:val="24"/>
                <w:highlight w:val="none"/>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trPr>
        <w:tc>
          <w:tcPr>
            <w:tcW w:w="1201"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olor w:val="auto"/>
                <w:highlight w:val="none"/>
              </w:rPr>
              <w:t>1</w:t>
            </w:r>
          </w:p>
        </w:tc>
        <w:tc>
          <w:tcPr>
            <w:tcW w:w="1716"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olor w:val="auto"/>
                <w:highlight w:val="none"/>
              </w:rPr>
              <w:t>95</w:t>
            </w:r>
          </w:p>
        </w:tc>
        <w:tc>
          <w:tcPr>
            <w:tcW w:w="5678"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ascii="宋体" w:hAnsi="宋体"/>
                <w:color w:val="auto"/>
                <w:highlight w:val="none"/>
              </w:rPr>
              <w:t>不接受预付款，项目</w:t>
            </w:r>
            <w:r>
              <w:rPr>
                <w:rFonts w:hint="eastAsia" w:ascii="宋体" w:hAnsi="宋体"/>
                <w:color w:val="auto"/>
                <w:highlight w:val="none"/>
              </w:rPr>
              <w:t>竣工</w:t>
            </w:r>
            <w:r>
              <w:rPr>
                <w:rFonts w:ascii="宋体" w:hAnsi="宋体"/>
                <w:color w:val="auto"/>
                <w:highlight w:val="none"/>
              </w:rPr>
              <w:t>验收合格后支付合同总金额的9</w:t>
            </w:r>
            <w:r>
              <w:rPr>
                <w:rFonts w:hint="eastAsia" w:ascii="宋体" w:hAnsi="宋体"/>
                <w:color w:val="auto"/>
                <w:highlight w:val="none"/>
              </w:rPr>
              <w:t>5</w:t>
            </w:r>
            <w:r>
              <w:rPr>
                <w:rFonts w:ascii="宋体" w:hAnsi="宋体"/>
                <w:color w:val="auto"/>
                <w:highlight w:val="none"/>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67" w:hRule="atLeast"/>
          <w:tblCellSpacing w:w="0" w:type="dxa"/>
        </w:trPr>
        <w:tc>
          <w:tcPr>
            <w:tcW w:w="1201"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olor w:val="auto"/>
                <w:highlight w:val="none"/>
              </w:rPr>
              <w:t>2</w:t>
            </w:r>
          </w:p>
        </w:tc>
        <w:tc>
          <w:tcPr>
            <w:tcW w:w="1716"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hint="eastAsia" w:ascii="宋体" w:hAnsi="宋体"/>
                <w:color w:val="auto"/>
                <w:highlight w:val="none"/>
              </w:rPr>
              <w:t>5</w:t>
            </w:r>
          </w:p>
        </w:tc>
        <w:tc>
          <w:tcPr>
            <w:tcW w:w="5678" w:type="dxa"/>
            <w:tcBorders>
              <w:top w:val="outset" w:color="auto" w:sz="6" w:space="0"/>
              <w:left w:val="outset" w:color="auto" w:sz="6" w:space="0"/>
              <w:bottom w:val="outset" w:color="auto" w:sz="6" w:space="0"/>
              <w:right w:val="outset" w:color="auto" w:sz="6" w:space="0"/>
            </w:tcBorders>
            <w:noWrap/>
            <w:vAlign w:val="center"/>
          </w:tcPr>
          <w:p>
            <w:pPr>
              <w:widowControl/>
              <w:snapToGrid w:val="0"/>
              <w:spacing w:line="400" w:lineRule="exact"/>
              <w:jc w:val="center"/>
              <w:rPr>
                <w:rFonts w:ascii="宋体" w:hAnsi="宋体" w:cs="宋体"/>
                <w:color w:val="auto"/>
                <w:sz w:val="24"/>
                <w:highlight w:val="none"/>
              </w:rPr>
            </w:pPr>
            <w:r>
              <w:rPr>
                <w:rFonts w:ascii="宋体" w:hAnsi="宋体"/>
                <w:color w:val="auto"/>
                <w:highlight w:val="none"/>
              </w:rPr>
              <w:t>余额作为质保金，于保修满后且产品无任何质量问题一次性付清</w:t>
            </w:r>
          </w:p>
        </w:tc>
      </w:tr>
    </w:tbl>
    <w:p>
      <w:pPr>
        <w:pStyle w:val="33"/>
        <w:ind w:firstLine="0"/>
        <w:rPr>
          <w:rFonts w:ascii="宋体" w:hAnsi="宋体" w:eastAsia="宋体"/>
          <w:color w:val="auto"/>
          <w:highlight w:val="none"/>
        </w:rPr>
      </w:pPr>
    </w:p>
    <w:p>
      <w:pPr>
        <w:pStyle w:val="18"/>
        <w:widowControl/>
        <w:numPr>
          <w:ilvl w:val="0"/>
          <w:numId w:val="7"/>
        </w:numPr>
        <w:spacing w:line="400" w:lineRule="exact"/>
        <w:rPr>
          <w:rStyle w:val="25"/>
          <w:rFonts w:ascii="宋体" w:hAnsi="宋体" w:cs="宋体"/>
          <w:color w:val="auto"/>
          <w:highlight w:val="none"/>
        </w:rPr>
      </w:pPr>
      <w:r>
        <w:rPr>
          <w:rStyle w:val="25"/>
          <w:rFonts w:hint="eastAsia" w:ascii="宋体" w:hAnsi="宋体" w:cs="宋体"/>
          <w:color w:val="auto"/>
          <w:highlight w:val="none"/>
        </w:rPr>
        <w:t>其他要求：</w:t>
      </w:r>
    </w:p>
    <w:p>
      <w:pPr>
        <w:pStyle w:val="18"/>
        <w:widowControl/>
        <w:spacing w:line="400" w:lineRule="exact"/>
        <w:ind w:firstLine="480" w:firstLineChars="200"/>
        <w:rPr>
          <w:color w:val="auto"/>
          <w:highlight w:val="none"/>
        </w:rPr>
      </w:pPr>
      <w:r>
        <w:rPr>
          <w:rFonts w:hint="eastAsia" w:ascii="宋体" w:hAnsi="宋体" w:cs="宋体"/>
          <w:color w:val="auto"/>
          <w:highlight w:val="none"/>
        </w:rPr>
        <w:t>8.1. </w:t>
      </w:r>
      <w:r>
        <w:rPr>
          <w:rFonts w:hint="eastAsia" w:ascii="宋体" w:hAnsi="宋体" w:cs="宋体"/>
          <w:color w:val="auto"/>
          <w:highlight w:val="none"/>
        </w:rPr>
        <w:t>本批招标项目为整体采购，投标人不得将合同包中的部分内容进行拆分投标或漏项投标，拆分投标或漏项投标无效。投标人必须列明所投项目的每一单项的单价、小计和总价，报价应以人民币作为货币单位。投标时不可提供二个或多个可选择的价格进行报价。</w:t>
      </w:r>
    </w:p>
    <w:p>
      <w:pPr>
        <w:pStyle w:val="18"/>
        <w:widowControl/>
        <w:spacing w:line="400" w:lineRule="exact"/>
        <w:ind w:firstLine="480" w:firstLineChars="200"/>
        <w:rPr>
          <w:color w:val="auto"/>
          <w:highlight w:val="none"/>
        </w:rPr>
      </w:pPr>
      <w:r>
        <w:rPr>
          <w:rFonts w:hint="eastAsia" w:ascii="宋体" w:hAnsi="宋体" w:cs="宋体"/>
          <w:color w:val="auto"/>
          <w:highlight w:val="none"/>
        </w:rPr>
        <w:t>8.2. </w:t>
      </w:r>
      <w:r>
        <w:rPr>
          <w:rFonts w:hint="eastAsia" w:ascii="宋体" w:hAnsi="宋体" w:cs="宋体"/>
          <w:color w:val="auto"/>
          <w:highlight w:val="none"/>
        </w:rPr>
        <w:t>投标人应按照货物清单中的规格要求提供产品，投标人所提供产品的质量品质应符合行业标准，投标人应按招标技术规格提供产品。若招标文件中无相应规定，则该产品应符合相应的国家标准或行业标准。对投标人漏报或错报产品致使未能达到需求的功能和效果，因此造成的费用和后果由投标人自行负责。</w:t>
      </w:r>
    </w:p>
    <w:p>
      <w:pPr>
        <w:pStyle w:val="18"/>
        <w:widowControl/>
        <w:spacing w:line="400" w:lineRule="exact"/>
        <w:ind w:firstLine="480" w:firstLineChars="200"/>
        <w:rPr>
          <w:color w:val="auto"/>
          <w:highlight w:val="none"/>
        </w:rPr>
      </w:pPr>
      <w:r>
        <w:rPr>
          <w:rFonts w:hint="eastAsia" w:ascii="宋体" w:hAnsi="宋体" w:cs="宋体"/>
          <w:color w:val="auto"/>
          <w:highlight w:val="none"/>
        </w:rPr>
        <w:t>8.3. </w:t>
      </w:r>
      <w:r>
        <w:rPr>
          <w:rFonts w:hint="eastAsia" w:ascii="宋体" w:hAnsi="宋体" w:cs="宋体"/>
          <w:color w:val="auto"/>
          <w:highlight w:val="none"/>
        </w:rPr>
        <w:t>投标人提供的设备及材料等，应保证这些设备及材料等手续的合法性，在交货、安装或验收时中标 供 应 商应提供所有设备及材料的全部合法证明材料(如：产品合格证、许可证、安全认证证书、检验报告、产地证明、装箱单以及技术参数说明等资料)。</w:t>
      </w:r>
    </w:p>
    <w:p>
      <w:pPr>
        <w:pStyle w:val="18"/>
        <w:widowControl/>
        <w:spacing w:line="400" w:lineRule="exact"/>
        <w:ind w:firstLine="480" w:firstLineChars="200"/>
        <w:rPr>
          <w:color w:val="auto"/>
          <w:highlight w:val="none"/>
        </w:rPr>
      </w:pPr>
      <w:r>
        <w:rPr>
          <w:rFonts w:hint="eastAsia" w:ascii="宋体" w:hAnsi="宋体" w:cs="宋体"/>
          <w:color w:val="auto"/>
          <w:highlight w:val="none"/>
        </w:rPr>
        <w:t>8.4. </w:t>
      </w:r>
      <w:r>
        <w:rPr>
          <w:rFonts w:hint="eastAsia" w:ascii="宋体" w:hAnsi="宋体" w:cs="宋体"/>
          <w:color w:val="auto"/>
          <w:highlight w:val="none"/>
        </w:rPr>
        <w:t>总报价必须是货物送达招标人指 定地点、经招标人验收合格并交付使用所有可能发生的费用，包括生产、运输、包装、送货、税收、检验、售 后 服 务等费用。并在投标文件中提供详细的切实可行的系统建设技术方案以及招标文件要求提供的其它资料。</w:t>
      </w:r>
    </w:p>
    <w:p>
      <w:pPr>
        <w:pStyle w:val="18"/>
        <w:widowControl/>
        <w:spacing w:line="400" w:lineRule="exact"/>
        <w:ind w:firstLine="480" w:firstLineChars="200"/>
        <w:rPr>
          <w:color w:val="auto"/>
          <w:highlight w:val="none"/>
        </w:rPr>
      </w:pPr>
      <w:r>
        <w:rPr>
          <w:rFonts w:hint="eastAsia" w:ascii="宋体" w:hAnsi="宋体" w:cs="宋体"/>
          <w:color w:val="auto"/>
          <w:highlight w:val="none"/>
        </w:rPr>
        <w:t>8.5. </w:t>
      </w:r>
      <w:r>
        <w:rPr>
          <w:rFonts w:hint="eastAsia" w:ascii="宋体" w:hAnsi="宋体" w:cs="宋体"/>
          <w:color w:val="auto"/>
          <w:highlight w:val="none"/>
        </w:rPr>
        <w:t>投标人应提供投标货物或投标货物的同类产品经国家质量监督检验部门检验合格的检验报告。</w:t>
      </w:r>
    </w:p>
    <w:p>
      <w:pPr>
        <w:pStyle w:val="18"/>
        <w:widowControl/>
        <w:spacing w:line="400" w:lineRule="exact"/>
        <w:ind w:firstLine="480" w:firstLineChars="200"/>
        <w:rPr>
          <w:color w:val="auto"/>
          <w:highlight w:val="none"/>
        </w:rPr>
      </w:pPr>
      <w:r>
        <w:rPr>
          <w:rFonts w:hint="eastAsia" w:ascii="宋体" w:hAnsi="宋体" w:cs="宋体"/>
          <w:color w:val="auto"/>
          <w:highlight w:val="none"/>
        </w:rPr>
        <w:t>8.6. </w:t>
      </w:r>
      <w:r>
        <w:rPr>
          <w:rFonts w:hint="eastAsia" w:ascii="宋体" w:hAnsi="宋体" w:cs="宋体"/>
          <w:color w:val="auto"/>
          <w:highlight w:val="none"/>
        </w:rPr>
        <w:t>报价清单必须详细，包含货物品牌、详细规格、图片、单价等产品信息。否则由此所产生一切后果投标人承担。</w:t>
      </w:r>
    </w:p>
    <w:p>
      <w:pPr>
        <w:pStyle w:val="18"/>
        <w:widowControl/>
        <w:spacing w:line="400" w:lineRule="exact"/>
        <w:ind w:firstLine="482" w:firstLineChars="200"/>
        <w:rPr>
          <w:color w:val="auto"/>
          <w:highlight w:val="none"/>
        </w:rPr>
      </w:pPr>
      <w:r>
        <w:rPr>
          <w:rStyle w:val="25"/>
          <w:rFonts w:hint="eastAsia" w:ascii="宋体" w:hAnsi="宋体" w:cs="宋体"/>
          <w:color w:val="auto"/>
          <w:highlight w:val="none"/>
        </w:rPr>
        <w:t>9、售后服务要求:</w:t>
      </w:r>
    </w:p>
    <w:p>
      <w:pPr>
        <w:pStyle w:val="18"/>
        <w:widowControl/>
        <w:spacing w:line="400" w:lineRule="exact"/>
        <w:ind w:firstLine="480" w:firstLineChars="200"/>
        <w:rPr>
          <w:color w:val="auto"/>
          <w:highlight w:val="none"/>
        </w:rPr>
      </w:pPr>
      <w:r>
        <w:rPr>
          <w:rFonts w:hint="eastAsia" w:ascii="宋体" w:hAnsi="宋体" w:cs="宋体"/>
          <w:color w:val="auto"/>
          <w:highlight w:val="none"/>
        </w:rPr>
        <w:t>9.1. 质保期和售后服务要求：除招标明确要求外，其他货物免费质量保修期为验收合格后一年 (厂家或国家有更长免费质量保修期限规定的从其规定），从正式验收合格交付使用之日算起；在质保期内出现故障，中标人应免费提供咨询、更换损坏的零件和维修服务，终身维护。</w:t>
      </w:r>
    </w:p>
    <w:p>
      <w:pPr>
        <w:pStyle w:val="18"/>
        <w:widowControl/>
        <w:spacing w:line="400" w:lineRule="exact"/>
        <w:ind w:firstLine="480" w:firstLineChars="200"/>
        <w:rPr>
          <w:color w:val="auto"/>
          <w:highlight w:val="none"/>
        </w:rPr>
      </w:pPr>
      <w:r>
        <w:rPr>
          <w:rFonts w:hint="eastAsia" w:ascii="宋体" w:hAnsi="宋体" w:cs="宋体"/>
          <w:color w:val="auto"/>
          <w:highlight w:val="none"/>
        </w:rPr>
        <w:t>9.2. 根据招标人指 定的地点免费提供所有货物的送货、安装、调试服务。</w:t>
      </w:r>
    </w:p>
    <w:p>
      <w:pPr>
        <w:pStyle w:val="18"/>
        <w:widowControl/>
        <w:spacing w:line="400" w:lineRule="exact"/>
        <w:ind w:firstLine="480" w:firstLineChars="200"/>
        <w:rPr>
          <w:color w:val="auto"/>
          <w:highlight w:val="none"/>
        </w:rPr>
      </w:pPr>
      <w:r>
        <w:rPr>
          <w:rFonts w:hint="eastAsia" w:ascii="宋体" w:hAnsi="宋体" w:cs="宋体"/>
          <w:color w:val="auto"/>
          <w:highlight w:val="none"/>
        </w:rPr>
        <w:t>9.3. 验收不合格的货物，招标人可以要求中标供应商无条件免费更换或退货，并赔偿由此造成招标人的损失。</w:t>
      </w:r>
    </w:p>
    <w:p>
      <w:pPr>
        <w:pStyle w:val="18"/>
        <w:widowControl/>
        <w:spacing w:line="400" w:lineRule="exact"/>
        <w:ind w:firstLine="480" w:firstLineChars="200"/>
        <w:rPr>
          <w:color w:val="auto"/>
          <w:highlight w:val="none"/>
        </w:rPr>
      </w:pPr>
      <w:r>
        <w:rPr>
          <w:rFonts w:hint="eastAsia" w:ascii="宋体" w:hAnsi="宋体" w:cs="宋体"/>
          <w:color w:val="auto"/>
          <w:highlight w:val="none"/>
        </w:rPr>
        <w:t>9.4. 投标人可视自身能力在投标文件中提供更优、更合理的售后服务承诺。</w:t>
      </w:r>
    </w:p>
    <w:p>
      <w:pPr>
        <w:pStyle w:val="18"/>
        <w:widowControl/>
        <w:spacing w:line="400" w:lineRule="exact"/>
        <w:ind w:firstLine="480" w:firstLineChars="200"/>
        <w:rPr>
          <w:color w:val="auto"/>
          <w:highlight w:val="none"/>
        </w:rPr>
      </w:pPr>
      <w:r>
        <w:rPr>
          <w:rFonts w:hint="eastAsia" w:ascii="宋体" w:hAnsi="宋体" w:cs="宋体"/>
          <w:color w:val="auto"/>
          <w:highlight w:val="none"/>
        </w:rPr>
        <w:t>9.5. 投标人应针对本次投标提供详细的售后服务方案及承诺，内容应涉及：维护机构、人员、地址、电话、维修方式、保修方式、保修期满后的维修保养费用、时间保证、零配件及易损件费用及优惠措施等。</w:t>
      </w:r>
    </w:p>
    <w:p>
      <w:pPr>
        <w:pStyle w:val="18"/>
        <w:widowControl/>
        <w:autoSpaceDE w:val="0"/>
        <w:spacing w:line="400" w:lineRule="exact"/>
        <w:ind w:firstLine="482" w:firstLineChars="200"/>
        <w:rPr>
          <w:rFonts w:ascii="宋体" w:hAnsi="宋体" w:cs="宋体"/>
          <w:b/>
          <w:bCs/>
          <w:color w:val="auto"/>
          <w:highlight w:val="none"/>
        </w:rPr>
      </w:pPr>
      <w:r>
        <w:rPr>
          <w:rFonts w:hint="eastAsia" w:ascii="宋体" w:hAnsi="宋体" w:cs="宋体"/>
          <w:b/>
          <w:color w:val="auto"/>
          <w:highlight w:val="none"/>
          <w:shd w:val="clear" w:color="auto" w:fill="FFFFFF"/>
        </w:rPr>
        <w:t>10</w:t>
      </w:r>
      <w:r>
        <w:rPr>
          <w:rFonts w:hint="eastAsia" w:ascii="宋体" w:hAnsi="宋体" w:cs="宋体"/>
          <w:b/>
          <w:bCs/>
          <w:color w:val="auto"/>
          <w:highlight w:val="none"/>
        </w:rPr>
        <w:t>.违约责任</w:t>
      </w:r>
    </w:p>
    <w:p>
      <w:pPr>
        <w:pStyle w:val="18"/>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10.1因中标人原因造成采购合同无法按时签订，视为中标人违约，采购人有权没收其投标保证金；采购合同之后，中标人要求解除合同的，视为中标人违约，中标还需另行支付相应的赔偿。</w:t>
      </w:r>
    </w:p>
    <w:p>
      <w:pPr>
        <w:pStyle w:val="18"/>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10.2因中标人原因发生重大质量事故，除依约承担赔偿责任外，还将按有关质量管理办法规定执行。同时，采购人有权保留更换中标人的权利，并报相关行政主管部门处罚。</w:t>
      </w:r>
    </w:p>
    <w:p>
      <w:pPr>
        <w:pStyle w:val="18"/>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18"/>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10.4在明确违约责任后，中标人应在接到书面通知书起七天内支付违约金、赔偿金等。</w:t>
      </w:r>
    </w:p>
    <w:p>
      <w:pPr>
        <w:pStyle w:val="18"/>
        <w:widowControl/>
        <w:autoSpaceDE w:val="0"/>
        <w:spacing w:line="400" w:lineRule="exact"/>
        <w:ind w:firstLine="480" w:firstLineChars="200"/>
        <w:rPr>
          <w:rFonts w:ascii="宋体" w:hAnsi="宋体" w:cs="宋体"/>
          <w:color w:val="auto"/>
          <w:highlight w:val="none"/>
        </w:rPr>
      </w:pPr>
      <w:r>
        <w:rPr>
          <w:rFonts w:hint="eastAsia" w:ascii="宋体" w:hAnsi="宋体" w:cs="宋体"/>
          <w:color w:val="auto"/>
          <w:highlight w:val="none"/>
        </w:rPr>
        <w:t>10.5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pPr>
        <w:pStyle w:val="18"/>
        <w:widowControl/>
        <w:autoSpaceDE w:val="0"/>
        <w:spacing w:line="400" w:lineRule="exact"/>
        <w:ind w:firstLine="480" w:firstLineChars="200"/>
        <w:rPr>
          <w:rFonts w:ascii="宋体" w:hAnsi="宋体" w:cs="宋体"/>
          <w:bCs/>
          <w:color w:val="auto"/>
          <w:highlight w:val="none"/>
          <w:shd w:val="clear" w:color="auto" w:fill="FFFFFF"/>
        </w:rPr>
      </w:pPr>
      <w:r>
        <w:rPr>
          <w:rFonts w:hint="eastAsia" w:ascii="宋体" w:hAnsi="宋体" w:cs="宋体"/>
          <w:color w:val="auto"/>
          <w:highlight w:val="none"/>
        </w:rPr>
        <w:t>10.6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pPr>
        <w:pStyle w:val="18"/>
        <w:widowControl/>
        <w:spacing w:line="440" w:lineRule="exact"/>
        <w:rPr>
          <w:rFonts w:ascii="宋体" w:hAnsi="宋体" w:cs="宋体"/>
          <w:color w:val="auto"/>
          <w:highlight w:val="none"/>
        </w:rPr>
      </w:pPr>
    </w:p>
    <w:p>
      <w:pPr>
        <w:pStyle w:val="18"/>
        <w:widowControl/>
        <w:spacing w:line="440" w:lineRule="exact"/>
        <w:rPr>
          <w:rFonts w:ascii="宋体" w:hAnsi="宋体" w:cs="宋体"/>
          <w:color w:val="auto"/>
          <w:highlight w:val="none"/>
        </w:rPr>
      </w:pPr>
      <w:r>
        <w:rPr>
          <w:rFonts w:hint="eastAsia" w:ascii="宋体" w:hAnsi="宋体" w:cs="宋体"/>
          <w:color w:val="auto"/>
          <w:highlight w:val="none"/>
        </w:rPr>
        <w:t>四、其他事项</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1、除招标文件另有规定外，若出现有关法律、法规和规章有强制性规定但招标文件未列明的情形，则投标人应按照有关法律、法规和规章强制性规定执行。</w:t>
      </w:r>
    </w:p>
    <w:p>
      <w:pPr>
        <w:pStyle w:val="18"/>
        <w:widowControl/>
        <w:spacing w:line="440" w:lineRule="exact"/>
        <w:rPr>
          <w:rStyle w:val="25"/>
          <w:rFonts w:ascii="宋体" w:hAnsi="宋体" w:cs="宋体"/>
          <w:color w:val="auto"/>
          <w:highlight w:val="none"/>
        </w:rPr>
      </w:pPr>
      <w:r>
        <w:rPr>
          <w:rFonts w:hint="eastAsia" w:ascii="宋体" w:hAnsi="宋体" w:cs="宋体"/>
          <w:color w:val="auto"/>
          <w:highlight w:val="none"/>
        </w:rPr>
        <w:t>2、其他：</w:t>
      </w:r>
    </w:p>
    <w:p>
      <w:pPr>
        <w:pStyle w:val="18"/>
        <w:widowControl/>
        <w:spacing w:before="75" w:after="75"/>
        <w:ind w:firstLine="2249" w:firstLineChars="700"/>
        <w:rPr>
          <w:rFonts w:ascii="宋体" w:hAnsi="宋体" w:cs="宋体"/>
          <w:b/>
          <w:color w:val="auto"/>
          <w:sz w:val="32"/>
          <w:szCs w:val="32"/>
          <w:highlight w:val="none"/>
        </w:rPr>
      </w:pPr>
    </w:p>
    <w:p>
      <w:pPr>
        <w:pStyle w:val="18"/>
        <w:widowControl/>
        <w:spacing w:before="75" w:after="75"/>
        <w:ind w:firstLine="2249" w:firstLineChars="700"/>
        <w:rPr>
          <w:rFonts w:ascii="宋体" w:hAnsi="宋体" w:cs="宋体"/>
          <w:b/>
          <w:color w:val="auto"/>
          <w:sz w:val="32"/>
          <w:szCs w:val="32"/>
          <w:highlight w:val="none"/>
        </w:rPr>
      </w:pPr>
    </w:p>
    <w:p>
      <w:pPr>
        <w:pStyle w:val="18"/>
        <w:widowControl/>
        <w:spacing w:before="75" w:after="75"/>
        <w:ind w:firstLine="2249" w:firstLineChars="700"/>
        <w:rPr>
          <w:rFonts w:ascii="宋体" w:hAnsi="宋体" w:cs="宋体"/>
          <w:b/>
          <w:color w:val="auto"/>
          <w:sz w:val="32"/>
          <w:szCs w:val="32"/>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pStyle w:val="18"/>
        <w:widowControl/>
        <w:spacing w:before="75" w:after="75"/>
        <w:ind w:firstLine="2249" w:firstLineChars="700"/>
        <w:rPr>
          <w:rFonts w:ascii="宋体" w:hAnsi="宋体" w:cs="宋体"/>
          <w:color w:val="auto"/>
          <w:highlight w:val="none"/>
        </w:rPr>
      </w:pPr>
      <w:r>
        <w:rPr>
          <w:rFonts w:hint="eastAsia" w:ascii="宋体" w:hAnsi="宋体" w:cs="宋体"/>
          <w:b/>
          <w:color w:val="auto"/>
          <w:sz w:val="32"/>
          <w:szCs w:val="32"/>
          <w:highlight w:val="none"/>
        </w:rPr>
        <w:t xml:space="preserve">第六章  </w:t>
      </w:r>
      <w:r>
        <w:rPr>
          <w:rStyle w:val="25"/>
          <w:rFonts w:hint="eastAsia" w:ascii="宋体" w:hAnsi="宋体" w:cs="宋体"/>
          <w:color w:val="auto"/>
          <w:sz w:val="31"/>
          <w:szCs w:val="31"/>
          <w:highlight w:val="none"/>
        </w:rPr>
        <w:t>合同（参考文本）</w:t>
      </w:r>
    </w:p>
    <w:p>
      <w:pPr>
        <w:pStyle w:val="18"/>
        <w:widowControl/>
        <w:spacing w:before="75" w:after="75"/>
        <w:jc w:val="center"/>
        <w:rPr>
          <w:rFonts w:ascii="宋体" w:hAnsi="宋体" w:cs="宋体"/>
          <w:color w:val="auto"/>
          <w:highlight w:val="none"/>
        </w:rPr>
      </w:pPr>
      <w:r>
        <w:rPr>
          <w:rStyle w:val="25"/>
          <w:rFonts w:hint="eastAsia" w:ascii="宋体" w:hAnsi="宋体" w:cs="宋体"/>
          <w:color w:val="auto"/>
          <w:highlight w:val="none"/>
        </w:rPr>
        <w:t>编制说明</w:t>
      </w:r>
    </w:p>
    <w:p>
      <w:pPr>
        <w:pStyle w:val="18"/>
        <w:widowControl/>
        <w:spacing w:line="440" w:lineRule="exact"/>
        <w:rPr>
          <w:rFonts w:ascii="宋体" w:hAnsi="宋体" w:cs="宋体"/>
          <w:color w:val="auto"/>
          <w:highlight w:val="none"/>
        </w:rPr>
      </w:pPr>
      <w:r>
        <w:rPr>
          <w:rStyle w:val="25"/>
          <w:rFonts w:hint="eastAsia" w:ascii="宋体" w:hAnsi="宋体" w:cs="宋体"/>
          <w:color w:val="auto"/>
          <w:highlight w:val="none"/>
        </w:rPr>
        <w:t>1、签订合同应遵守政府采购法、民法典。</w:t>
      </w:r>
    </w:p>
    <w:p>
      <w:pPr>
        <w:pStyle w:val="18"/>
        <w:widowControl/>
        <w:spacing w:line="440" w:lineRule="exact"/>
        <w:rPr>
          <w:rFonts w:ascii="宋体" w:hAnsi="宋体" w:cs="宋体"/>
          <w:color w:val="auto"/>
          <w:highlight w:val="none"/>
        </w:rPr>
      </w:pPr>
      <w:r>
        <w:rPr>
          <w:rStyle w:val="25"/>
          <w:rFonts w:hint="eastAsia" w:ascii="宋体" w:hAnsi="宋体" w:cs="宋体"/>
          <w:color w:val="auto"/>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18"/>
        <w:widowControl/>
        <w:spacing w:line="440" w:lineRule="exact"/>
        <w:rPr>
          <w:rFonts w:ascii="宋体" w:hAnsi="宋体" w:cs="宋体"/>
          <w:color w:val="auto"/>
          <w:highlight w:val="none"/>
        </w:rPr>
      </w:pPr>
      <w:r>
        <w:rPr>
          <w:rStyle w:val="25"/>
          <w:rFonts w:hint="eastAsia" w:ascii="宋体" w:hAnsi="宋体" w:cs="宋体"/>
          <w:color w:val="auto"/>
          <w:highlight w:val="none"/>
        </w:rPr>
        <w:t>3、国家有关部门对若干合同有规范文本的，可使用相应合同文本。</w:t>
      </w:r>
    </w:p>
    <w:p>
      <w:pPr>
        <w:spacing w:line="440" w:lineRule="exact"/>
        <w:rPr>
          <w:rFonts w:ascii="宋体" w:hAnsi="宋体" w:cs="宋体"/>
          <w:color w:val="auto"/>
          <w:sz w:val="24"/>
          <w:highlight w:val="none"/>
        </w:rPr>
      </w:pPr>
      <w:r>
        <w:rPr>
          <w:rFonts w:hint="eastAsia" w:ascii="宋体" w:hAnsi="宋体" w:cs="宋体"/>
          <w:color w:val="auto"/>
          <w:sz w:val="24"/>
          <w:highlight w:val="none"/>
        </w:rPr>
        <w:t>甲方：</w:t>
      </w:r>
    </w:p>
    <w:p>
      <w:pPr>
        <w:pStyle w:val="18"/>
        <w:widowControl/>
        <w:spacing w:line="440" w:lineRule="exact"/>
        <w:rPr>
          <w:rFonts w:ascii="宋体" w:hAnsi="宋体" w:cs="宋体"/>
          <w:color w:val="auto"/>
          <w:highlight w:val="none"/>
          <w:u w:val="single"/>
        </w:rPr>
      </w:pPr>
      <w:r>
        <w:rPr>
          <w:rFonts w:hint="eastAsia" w:ascii="宋体" w:hAnsi="宋体" w:cs="宋体"/>
          <w:color w:val="auto"/>
          <w:highlight w:val="none"/>
        </w:rPr>
        <w:t>乙方：</w:t>
      </w:r>
      <w:r>
        <w:rPr>
          <w:rFonts w:hint="eastAsia" w:ascii="宋体" w:hAnsi="宋体" w:cs="宋体"/>
          <w:color w:val="auto"/>
          <w:highlight w:val="none"/>
          <w:u w:val="single"/>
        </w:rPr>
        <w:t xml:space="preserve">（中标人全称）        </w:t>
      </w:r>
    </w:p>
    <w:p>
      <w:pPr>
        <w:pStyle w:val="18"/>
        <w:widowControl/>
        <w:spacing w:line="440" w:lineRule="exact"/>
        <w:rPr>
          <w:rFonts w:ascii="宋体" w:hAnsi="宋体" w:cs="宋体"/>
          <w:color w:val="auto"/>
          <w:highlight w:val="none"/>
          <w:u w:val="single"/>
        </w:rPr>
      </w:pPr>
    </w:p>
    <w:p>
      <w:pPr>
        <w:pStyle w:val="18"/>
        <w:widowControl/>
        <w:spacing w:line="440" w:lineRule="exact"/>
        <w:rPr>
          <w:rFonts w:ascii="宋体" w:hAnsi="宋体" w:cs="宋体"/>
          <w:color w:val="auto"/>
          <w:highlight w:val="none"/>
        </w:rPr>
      </w:pPr>
      <w:r>
        <w:rPr>
          <w:rFonts w:hint="eastAsia" w:ascii="宋体" w:hAnsi="宋体" w:cs="宋体"/>
          <w:color w:val="auto"/>
          <w:highlight w:val="none"/>
        </w:rPr>
        <w:t>  根据招标编号为</w:t>
      </w:r>
      <w:r>
        <w:rPr>
          <w:rFonts w:hint="eastAsia" w:ascii="宋体" w:hAnsi="宋体" w:cs="宋体"/>
          <w:color w:val="auto"/>
          <w:highlight w:val="none"/>
          <w:u w:val="single"/>
        </w:rPr>
        <w:t>  </w:t>
      </w:r>
      <w:r>
        <w:rPr>
          <w:rFonts w:hint="eastAsia" w:ascii="宋体" w:hAnsi="宋体" w:cs="宋体"/>
          <w:color w:val="auto"/>
          <w:highlight w:val="none"/>
        </w:rPr>
        <w:t>的（以下简称：“本项目”）的招标结果，乙方为中标人。现经甲乙双方友好协商，就以下事项达成一致并签订本合同：</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1、下列合同文件是构成本合同不可分割的部分：</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1.1合同条款；</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1.2招标文件、乙方的投标文件；</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1.3其他文件或材料：□无。□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2、合同标的</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3、合同总金额</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3.1合同总金额为人民币大写：</w:t>
      </w:r>
      <w:r>
        <w:rPr>
          <w:rFonts w:hint="eastAsia" w:ascii="宋体" w:hAnsi="宋体" w:cs="宋体"/>
          <w:color w:val="auto"/>
          <w:highlight w:val="none"/>
          <w:u w:val="single"/>
        </w:rPr>
        <w:t>       </w:t>
      </w:r>
      <w:r>
        <w:rPr>
          <w:rFonts w:hint="eastAsia" w:ascii="宋体" w:hAnsi="宋体" w:cs="宋体"/>
          <w:color w:val="auto"/>
          <w:highlight w:val="none"/>
        </w:rPr>
        <w:t>元（￥</w:t>
      </w:r>
      <w:r>
        <w:rPr>
          <w:rFonts w:hint="eastAsia" w:ascii="宋体" w:hAnsi="宋体" w:cs="宋体"/>
          <w:color w:val="auto"/>
          <w:highlight w:val="none"/>
          <w:u w:val="single"/>
        </w:rPr>
        <w:t>        </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4、合同标的交付时间、地点和条件</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sz w:val="24"/>
          <w:highlight w:val="none"/>
        </w:rPr>
        <w:t>交货时间：</w:t>
      </w:r>
      <w:r>
        <w:rPr>
          <w:rFonts w:hint="eastAsia" w:ascii="宋体" w:hAnsi="宋体" w:cs="宋体"/>
          <w:color w:val="auto"/>
          <w:highlight w:val="none"/>
        </w:rPr>
        <w:t>；</w:t>
      </w:r>
    </w:p>
    <w:p>
      <w:pPr>
        <w:spacing w:line="400" w:lineRule="exact"/>
        <w:ind w:firstLine="420" w:firstLineChars="200"/>
        <w:rPr>
          <w:rFonts w:ascii="宋体" w:hAnsi="宋体" w:cs="宋体"/>
          <w:color w:val="auto"/>
          <w:sz w:val="24"/>
          <w:highlight w:val="none"/>
        </w:rPr>
      </w:pPr>
      <w:r>
        <w:rPr>
          <w:rFonts w:hint="eastAsia" w:ascii="宋体" w:hAnsi="宋体" w:cs="宋体"/>
          <w:color w:val="auto"/>
          <w:highlight w:val="none"/>
        </w:rPr>
        <w:t>4.2</w:t>
      </w:r>
      <w:r>
        <w:rPr>
          <w:rFonts w:hint="eastAsia" w:ascii="宋体" w:hAnsi="宋体" w:cs="宋体"/>
          <w:color w:val="auto"/>
          <w:sz w:val="24"/>
          <w:highlight w:val="none"/>
        </w:rPr>
        <w:t>交付地点</w:t>
      </w:r>
      <w:r>
        <w:rPr>
          <w:rFonts w:hint="eastAsia" w:ascii="宋体" w:hAnsi="宋体" w:cs="宋体"/>
          <w:color w:val="auto"/>
          <w:highlight w:val="none"/>
        </w:rPr>
        <w:t>：</w:t>
      </w:r>
      <w:r>
        <w:rPr>
          <w:rFonts w:hint="eastAsia" w:ascii="宋体" w:hAnsi="宋体" w:cs="宋体"/>
          <w:color w:val="auto"/>
          <w:sz w:val="24"/>
          <w:highlight w:val="none"/>
        </w:rPr>
        <w:t xml:space="preserve">； </w:t>
      </w:r>
    </w:p>
    <w:p>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sz w:val="24"/>
          <w:highlight w:val="none"/>
        </w:rPr>
        <w:t>交付条件</w:t>
      </w:r>
      <w:r>
        <w:rPr>
          <w:rFonts w:hint="eastAsia" w:ascii="宋体" w:hAnsi="宋体" w:cs="宋体"/>
          <w:color w:val="auto"/>
          <w:highlight w:val="none"/>
        </w:rPr>
        <w:t>：</w:t>
      </w:r>
      <w:r>
        <w:rPr>
          <w:rFonts w:hint="eastAsia" w:ascii="宋体" w:hAnsi="宋体" w:cs="宋体"/>
          <w:color w:val="auto"/>
          <w:sz w:val="24"/>
          <w:highlight w:val="none"/>
          <w:u w:val="single"/>
        </w:rPr>
        <w:t xml:space="preserve">严格按照招标文件要求交付            </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5、合同标的应符合招标文件、乙方投标文件的规定或约定，具体如下：</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widowControl/>
        <w:spacing w:line="440" w:lineRule="exact"/>
        <w:ind w:firstLine="480"/>
        <w:rPr>
          <w:rFonts w:ascii="宋体" w:hAnsi="宋体" w:cs="宋体"/>
          <w:b/>
          <w:bCs/>
          <w:color w:val="auto"/>
          <w:highlight w:val="none"/>
        </w:rPr>
      </w:pPr>
      <w:r>
        <w:rPr>
          <w:rFonts w:hint="eastAsia" w:ascii="宋体" w:hAnsi="宋体" w:cs="宋体"/>
          <w:color w:val="auto"/>
          <w:highlight w:val="none"/>
        </w:rPr>
        <w:t>6、验收</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本项目是否邀请其他投标人参与验收：</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□不邀请。□邀请，具体如下：</w:t>
      </w:r>
      <w:r>
        <w:rPr>
          <w:rFonts w:hint="eastAsia" w:ascii="宋体" w:hAnsi="宋体" w:cs="宋体"/>
          <w:color w:val="auto"/>
          <w:highlight w:val="none"/>
          <w:u w:val="single"/>
        </w:rPr>
        <w:t>（按照招标文件规定填写）</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7、合同款项的支付应按照招标文件的规定进行，具体如下：</w:t>
      </w:r>
    </w:p>
    <w:tbl>
      <w:tblPr>
        <w:tblStyle w:val="21"/>
        <w:tblW w:w="8462"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09"/>
        <w:gridCol w:w="77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5" w:hRule="atLeast"/>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r>
              <w:rPr>
                <w:rFonts w:hint="eastAsia" w:ascii="宋体" w:hAnsi="宋体" w:cs="宋体"/>
                <w:color w:val="auto"/>
                <w:kern w:val="0"/>
                <w:sz w:val="24"/>
                <w:highlight w:val="none"/>
              </w:rPr>
              <w:t>支付期次说明（</w:t>
            </w:r>
            <w:r>
              <w:rPr>
                <w:rFonts w:hint="eastAsia" w:ascii="宋体" w:hAnsi="宋体" w:cs="宋体"/>
                <w:color w:val="auto"/>
                <w:sz w:val="24"/>
                <w:highlight w:val="none"/>
              </w:rPr>
              <w:t>资金申请期间，不计利息）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709"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753"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400" w:lineRule="exact"/>
              <w:jc w:val="left"/>
              <w:rPr>
                <w:rFonts w:ascii="宋体" w:hAnsi="宋体" w:cs="宋体"/>
                <w:color w:val="auto"/>
                <w:sz w:val="24"/>
                <w:highlight w:val="none"/>
              </w:rPr>
            </w:pPr>
          </w:p>
        </w:tc>
      </w:tr>
    </w:tbl>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8、履约保证金</w:t>
      </w:r>
    </w:p>
    <w:p>
      <w:pPr>
        <w:spacing w:line="400" w:lineRule="exact"/>
        <w:ind w:firstLine="480" w:firstLineChars="200"/>
        <w:rPr>
          <w:rStyle w:val="25"/>
          <w:rFonts w:ascii="宋体" w:hAnsi="宋体" w:cs="宋体"/>
          <w:b w:val="0"/>
          <w:bCs/>
          <w:color w:val="auto"/>
          <w:sz w:val="24"/>
          <w:highlight w:val="none"/>
        </w:rPr>
      </w:pPr>
      <w:r>
        <w:rPr>
          <w:rFonts w:hint="eastAsia" w:ascii="宋体" w:hAnsi="宋体" w:cs="宋体"/>
          <w:color w:val="auto"/>
          <w:sz w:val="24"/>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9、合同有效期</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（按照实际情况编制填写，可以是表格或文字描述）</w:t>
      </w:r>
      <w:r>
        <w:rPr>
          <w:rFonts w:hint="eastAsia" w:ascii="宋体" w:hAnsi="宋体" w:cs="宋体"/>
          <w:color w:val="auto"/>
          <w:highlight w:val="none"/>
        </w:rPr>
        <w:t>。</w:t>
      </w:r>
    </w:p>
    <w:p>
      <w:pPr>
        <w:pStyle w:val="18"/>
        <w:widowControl/>
        <w:numPr>
          <w:ilvl w:val="0"/>
          <w:numId w:val="8"/>
        </w:numPr>
        <w:spacing w:line="440" w:lineRule="exact"/>
        <w:ind w:firstLine="480"/>
        <w:rPr>
          <w:rFonts w:ascii="宋体" w:hAnsi="宋体" w:cs="宋体"/>
          <w:color w:val="auto"/>
          <w:highlight w:val="none"/>
        </w:rPr>
      </w:pPr>
      <w:r>
        <w:rPr>
          <w:rFonts w:hint="eastAsia" w:ascii="宋体" w:hAnsi="宋体" w:cs="宋体"/>
          <w:color w:val="auto"/>
          <w:highlight w:val="none"/>
        </w:rPr>
        <w:t>违约责任</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11、知识产权</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12、解决争议的方法</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12.1甲、乙双方协商解决。</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12.2若协商解决不成，则通过下列途径之一解决：</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□提交仲裁委员会仲裁，具体如下：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□向人民法院提起诉讼，具体如下：</w:t>
      </w:r>
      <w:r>
        <w:rPr>
          <w:rFonts w:hint="eastAsia" w:ascii="宋体" w:hAnsi="宋体" w:cs="宋体"/>
          <w:color w:val="auto"/>
          <w:highlight w:val="none"/>
          <w:u w:val="single"/>
        </w:rPr>
        <w:t>（按照实际情况编制填写）</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13、不可抗力</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14、合同条款</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u w:val="single"/>
        </w:rPr>
        <w:t>（按照实际情况编制填写。招标文件第五章已有规定的，双方均不得变更或调整；招标文件第五章未作规定的，双方可通过友好协商进行约定）</w:t>
      </w:r>
      <w:r>
        <w:rPr>
          <w:rFonts w:hint="eastAsia" w:ascii="宋体" w:hAnsi="宋体" w:cs="宋体"/>
          <w:color w:val="auto"/>
          <w:highlight w:val="none"/>
        </w:rPr>
        <w:t>。</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15、其他约定</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15.1合同文件与本合同具有同等法律效力。</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15.2本合同未尽事宜，双方可另行补充。</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15.3合同生效：自签订之日起生效。</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15.4本合同一式</w:t>
      </w:r>
      <w:r>
        <w:rPr>
          <w:rFonts w:hint="eastAsia" w:ascii="宋体" w:hAnsi="宋体" w:cs="宋体"/>
          <w:color w:val="auto"/>
          <w:highlight w:val="none"/>
          <w:u w:val="single"/>
        </w:rPr>
        <w:t>（填写具体份数）</w:t>
      </w:r>
      <w:r>
        <w:rPr>
          <w:rFonts w:hint="eastAsia" w:ascii="宋体" w:hAnsi="宋体" w:cs="宋体"/>
          <w:color w:val="auto"/>
          <w:highlight w:val="none"/>
        </w:rPr>
        <w:t>份，经双方授权代表签字并盖章后生效。甲方、乙方各执</w:t>
      </w:r>
      <w:r>
        <w:rPr>
          <w:rFonts w:hint="eastAsia" w:ascii="宋体" w:hAnsi="宋体" w:cs="宋体"/>
          <w:color w:val="auto"/>
          <w:highlight w:val="none"/>
          <w:u w:val="single"/>
        </w:rPr>
        <w:t>（填写具体份数）</w:t>
      </w:r>
      <w:r>
        <w:rPr>
          <w:rFonts w:hint="eastAsia" w:ascii="宋体" w:hAnsi="宋体" w:cs="宋体"/>
          <w:color w:val="auto"/>
          <w:highlight w:val="none"/>
        </w:rPr>
        <w:t>份，送</w:t>
      </w:r>
      <w:r>
        <w:rPr>
          <w:rFonts w:hint="eastAsia" w:ascii="宋体" w:hAnsi="宋体" w:cs="宋体"/>
          <w:color w:val="auto"/>
          <w:highlight w:val="none"/>
          <w:u w:val="single"/>
        </w:rPr>
        <w:t>（填写需要备案的监管部门的全称）</w:t>
      </w:r>
      <w:r>
        <w:rPr>
          <w:rFonts w:hint="eastAsia" w:ascii="宋体" w:hAnsi="宋体" w:cs="宋体"/>
          <w:color w:val="auto"/>
          <w:highlight w:val="none"/>
        </w:rPr>
        <w:t>备案</w:t>
      </w:r>
      <w:r>
        <w:rPr>
          <w:rFonts w:hint="eastAsia" w:ascii="宋体" w:hAnsi="宋体" w:cs="宋体"/>
          <w:color w:val="auto"/>
          <w:highlight w:val="none"/>
          <w:u w:val="single"/>
        </w:rPr>
        <w:t>（填写具体份数）</w:t>
      </w:r>
      <w:r>
        <w:rPr>
          <w:rFonts w:hint="eastAsia" w:ascii="宋体" w:hAnsi="宋体" w:cs="宋体"/>
          <w:color w:val="auto"/>
          <w:highlight w:val="none"/>
        </w:rPr>
        <w:t>份，具有同等效力。</w:t>
      </w:r>
    </w:p>
    <w:p>
      <w:pPr>
        <w:pStyle w:val="18"/>
        <w:widowControl/>
        <w:spacing w:line="440" w:lineRule="exact"/>
        <w:ind w:firstLine="480"/>
        <w:rPr>
          <w:rFonts w:ascii="宋体" w:hAnsi="宋体" w:cs="宋体"/>
          <w:color w:val="auto"/>
          <w:highlight w:val="none"/>
        </w:rPr>
      </w:pPr>
      <w:r>
        <w:rPr>
          <w:rFonts w:hint="eastAsia" w:ascii="宋体" w:hAnsi="宋体" w:cs="宋体"/>
          <w:color w:val="auto"/>
          <w:highlight w:val="none"/>
        </w:rPr>
        <w:t>15.5其他：□无。□</w:t>
      </w:r>
      <w:r>
        <w:rPr>
          <w:rFonts w:hint="eastAsia" w:ascii="宋体" w:hAnsi="宋体" w:cs="宋体"/>
          <w:color w:val="auto"/>
          <w:highlight w:val="none"/>
          <w:u w:val="single"/>
        </w:rPr>
        <w:t>（按照实际情况编制填写需要增加的内容）</w:t>
      </w:r>
      <w:r>
        <w:rPr>
          <w:rFonts w:hint="eastAsia" w:ascii="宋体" w:hAnsi="宋体" w:cs="宋体"/>
          <w:color w:val="auto"/>
          <w:highlight w:val="none"/>
        </w:rPr>
        <w:t>。</w:t>
      </w:r>
    </w:p>
    <w:p>
      <w:pPr>
        <w:pStyle w:val="18"/>
        <w:widowControl/>
        <w:spacing w:line="440" w:lineRule="exact"/>
        <w:jc w:val="center"/>
        <w:rPr>
          <w:rFonts w:ascii="宋体" w:hAnsi="宋体" w:cs="宋体"/>
          <w:color w:val="auto"/>
          <w:highlight w:val="none"/>
        </w:rPr>
      </w:pPr>
      <w:r>
        <w:rPr>
          <w:rFonts w:hint="eastAsia" w:ascii="宋体" w:hAnsi="宋体" w:cs="宋体"/>
          <w:color w:val="auto"/>
          <w:highlight w:val="none"/>
        </w:rPr>
        <w:t>（以下无正文）</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甲方：                乙方：</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住所：                住所：</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单位负责人：              单位负责人：</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委托代理人：             委托代理人：</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联系方法：              联系方法：</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开户银行：              开户银行：</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账号：                  账号：</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签订地点：</w:t>
      </w:r>
      <w:r>
        <w:rPr>
          <w:rFonts w:hint="eastAsia" w:ascii="宋体" w:hAnsi="宋体" w:cs="宋体"/>
          <w:color w:val="auto"/>
          <w:highlight w:val="none"/>
          <w:u w:val="single"/>
        </w:rPr>
        <w:t>                </w:t>
      </w:r>
    </w:p>
    <w:p>
      <w:pPr>
        <w:pStyle w:val="18"/>
        <w:widowControl/>
        <w:spacing w:line="440" w:lineRule="exact"/>
        <w:rPr>
          <w:rFonts w:ascii="宋体" w:hAnsi="宋体" w:cs="宋体"/>
          <w:color w:val="auto"/>
          <w:highlight w:val="none"/>
        </w:rPr>
      </w:pPr>
      <w:r>
        <w:rPr>
          <w:rFonts w:hint="eastAsia" w:ascii="宋体" w:hAnsi="宋体" w:cs="宋体"/>
          <w:color w:val="auto"/>
          <w:highlight w:val="none"/>
        </w:rPr>
        <w:t>签订日期：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pPr>
        <w:spacing w:line="440" w:lineRule="exact"/>
        <w:ind w:left="315"/>
        <w:rPr>
          <w:rFonts w:ascii="宋体" w:hAnsi="宋体" w:cs="宋体"/>
          <w:color w:val="auto"/>
          <w:sz w:val="24"/>
          <w:highlight w:val="none"/>
        </w:rPr>
      </w:pPr>
    </w:p>
    <w:p>
      <w:pPr>
        <w:spacing w:line="440" w:lineRule="exact"/>
        <w:ind w:left="315"/>
        <w:jc w:val="center"/>
        <w:rPr>
          <w:rFonts w:ascii="宋体" w:hAnsi="宋体" w:cs="宋体"/>
          <w:b/>
          <w:bCs/>
          <w:color w:val="auto"/>
          <w:kern w:val="0"/>
          <w:sz w:val="24"/>
          <w:highlight w:val="none"/>
        </w:rPr>
      </w:pPr>
    </w:p>
    <w:p>
      <w:pPr>
        <w:spacing w:line="440" w:lineRule="exact"/>
        <w:ind w:left="315"/>
        <w:jc w:val="center"/>
        <w:rPr>
          <w:rFonts w:ascii="宋体" w:hAnsi="宋体" w:cs="宋体"/>
          <w:b/>
          <w:bCs/>
          <w:color w:val="auto"/>
          <w:kern w:val="0"/>
          <w:sz w:val="24"/>
          <w:highlight w:val="none"/>
        </w:rPr>
      </w:pPr>
    </w:p>
    <w:p>
      <w:pPr>
        <w:pStyle w:val="20"/>
        <w:ind w:left="420" w:firstLine="482"/>
        <w:rPr>
          <w:rFonts w:ascii="宋体" w:hAnsi="宋体" w:cs="宋体"/>
          <w:b/>
          <w:bCs/>
          <w:color w:val="auto"/>
          <w:highlight w:val="none"/>
        </w:rPr>
      </w:pPr>
    </w:p>
    <w:p>
      <w:pPr>
        <w:rPr>
          <w:rFonts w:ascii="宋体" w:hAnsi="宋体" w:cs="宋体"/>
          <w:b/>
          <w:bCs/>
          <w:color w:val="auto"/>
          <w:highlight w:val="none"/>
        </w:rPr>
      </w:pPr>
      <w:r>
        <w:rPr>
          <w:rFonts w:hint="eastAsia" w:ascii="宋体" w:hAnsi="宋体" w:cs="宋体"/>
          <w:b/>
          <w:bCs/>
          <w:color w:val="auto"/>
          <w:highlight w:val="none"/>
        </w:rPr>
        <w:br w:type="page"/>
      </w:r>
    </w:p>
    <w:p>
      <w:pPr>
        <w:pStyle w:val="20"/>
        <w:ind w:left="420" w:firstLine="622"/>
        <w:jc w:val="center"/>
        <w:rPr>
          <w:rFonts w:ascii="宋体" w:hAnsi="宋体" w:cs="宋体"/>
          <w:color w:val="auto"/>
          <w:highlight w:val="none"/>
        </w:rPr>
      </w:pPr>
      <w:r>
        <w:rPr>
          <w:rStyle w:val="25"/>
          <w:rFonts w:hint="eastAsia" w:ascii="宋体" w:hAnsi="宋体" w:cs="宋体"/>
          <w:color w:val="auto"/>
          <w:sz w:val="31"/>
          <w:szCs w:val="31"/>
          <w:highlight w:val="none"/>
        </w:rPr>
        <w:t>第七章   投标文件格式</w:t>
      </w:r>
    </w:p>
    <w:p>
      <w:pPr>
        <w:pStyle w:val="18"/>
        <w:widowControl/>
        <w:spacing w:after="150"/>
        <w:jc w:val="center"/>
        <w:rPr>
          <w:rFonts w:ascii="宋体" w:hAnsi="宋体" w:cs="宋体"/>
          <w:color w:val="auto"/>
          <w:highlight w:val="none"/>
        </w:rPr>
      </w:pPr>
      <w:r>
        <w:rPr>
          <w:rStyle w:val="25"/>
          <w:rFonts w:hint="eastAsia" w:ascii="宋体" w:hAnsi="宋体" w:cs="宋体"/>
          <w:color w:val="auto"/>
          <w:highlight w:val="none"/>
        </w:rPr>
        <w:t>编制说明</w:t>
      </w:r>
    </w:p>
    <w:p>
      <w:pPr>
        <w:pStyle w:val="18"/>
        <w:widowControl/>
        <w:spacing w:after="150"/>
        <w:rPr>
          <w:rFonts w:ascii="宋体" w:hAnsi="宋体" w:cs="宋体"/>
          <w:color w:val="auto"/>
          <w:highlight w:val="none"/>
        </w:rPr>
      </w:pPr>
      <w:r>
        <w:rPr>
          <w:rFonts w:hint="eastAsia" w:ascii="宋体" w:hAnsi="宋体" w:cs="宋体"/>
          <w:color w:val="auto"/>
          <w:highlight w:val="none"/>
        </w:rPr>
        <w:t> 1、除招标文件另有规定外，本章中：</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1.1涉及投标人的</w:t>
      </w:r>
      <w:r>
        <w:rPr>
          <w:rStyle w:val="25"/>
          <w:rFonts w:hint="eastAsia" w:ascii="宋体" w:hAnsi="宋体" w:cs="宋体"/>
          <w:color w:val="auto"/>
          <w:highlight w:val="none"/>
        </w:rPr>
        <w:t>“全称”</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5"/>
          <w:rFonts w:hint="eastAsia" w:ascii="宋体" w:hAnsi="宋体" w:cs="宋体"/>
          <w:color w:val="auto"/>
          <w:highlight w:val="none"/>
        </w:rPr>
        <w:t>投标人的全称</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5"/>
          <w:rFonts w:hint="eastAsia" w:ascii="宋体" w:hAnsi="宋体" w:cs="宋体"/>
          <w:color w:val="auto"/>
          <w:highlight w:val="none"/>
        </w:rPr>
        <w:t>牵头方的全称</w:t>
      </w:r>
      <w:r>
        <w:rPr>
          <w:rFonts w:hint="eastAsia" w:ascii="宋体" w:hAnsi="宋体" w:cs="宋体"/>
          <w:color w:val="auto"/>
          <w:highlight w:val="none"/>
        </w:rPr>
        <w:t>并加注</w:t>
      </w:r>
      <w:r>
        <w:rPr>
          <w:rStyle w:val="25"/>
          <w:rFonts w:hint="eastAsia" w:ascii="宋体" w:hAnsi="宋体" w:cs="宋体"/>
          <w:color w:val="auto"/>
          <w:highlight w:val="none"/>
        </w:rPr>
        <w:t>（联合体牵头方）</w:t>
      </w:r>
      <w:r>
        <w:rPr>
          <w:rFonts w:hint="eastAsia" w:ascii="宋体" w:hAnsi="宋体" w:cs="宋体"/>
          <w:color w:val="auto"/>
          <w:highlight w:val="none"/>
        </w:rPr>
        <w:t>，即应表述为：</w:t>
      </w:r>
      <w:r>
        <w:rPr>
          <w:rStyle w:val="25"/>
          <w:rFonts w:hint="eastAsia" w:ascii="宋体" w:hAnsi="宋体" w:cs="宋体"/>
          <w:color w:val="auto"/>
          <w:highlight w:val="none"/>
        </w:rPr>
        <w:t>“牵头方的全称（联合体牵头方）”</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1.2涉及投标人</w:t>
      </w:r>
      <w:r>
        <w:rPr>
          <w:rStyle w:val="25"/>
          <w:rFonts w:hint="eastAsia" w:ascii="宋体" w:hAnsi="宋体" w:cs="宋体"/>
          <w:color w:val="auto"/>
          <w:highlight w:val="none"/>
        </w:rPr>
        <w:t>“加盖单位公章”</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w:t>
      </w:r>
      <w:r>
        <w:rPr>
          <w:rStyle w:val="25"/>
          <w:rFonts w:hint="eastAsia" w:ascii="宋体" w:hAnsi="宋体" w:cs="宋体"/>
          <w:color w:val="auto"/>
          <w:highlight w:val="none"/>
        </w:rPr>
        <w:t>加盖投标人的单位公章</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w:t>
      </w:r>
      <w:r>
        <w:rPr>
          <w:rStyle w:val="25"/>
          <w:rFonts w:hint="eastAsia" w:ascii="宋体" w:hAnsi="宋体" w:cs="宋体"/>
          <w:color w:val="auto"/>
          <w:highlight w:val="none"/>
        </w:rPr>
        <w:t>加盖联合体牵头方的单位公章</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1.3涉及</w:t>
      </w:r>
      <w:r>
        <w:rPr>
          <w:rStyle w:val="25"/>
          <w:rFonts w:hint="eastAsia" w:ascii="宋体" w:hAnsi="宋体" w:cs="宋体"/>
          <w:color w:val="auto"/>
          <w:highlight w:val="none"/>
        </w:rPr>
        <w:t>“投标人代表签字”</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（1）不接受联合体投标的，指由</w:t>
      </w:r>
      <w:r>
        <w:rPr>
          <w:rStyle w:val="25"/>
          <w:rFonts w:hint="eastAsia" w:ascii="宋体" w:hAnsi="宋体" w:cs="宋体"/>
          <w:color w:val="auto"/>
          <w:highlight w:val="none"/>
        </w:rPr>
        <w:t>投标人的单位负责人或其授权的委托代理人签字</w:t>
      </w:r>
      <w:r>
        <w:rPr>
          <w:rFonts w:hint="eastAsia" w:ascii="宋体" w:hAnsi="宋体" w:cs="宋体"/>
          <w:color w:val="auto"/>
          <w:highlight w:val="none"/>
        </w:rPr>
        <w:t>，由委托代理人签字的，应提供“单位负责人授权书”。</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（2）接受联合体投标且投标人为联合体的，指由</w:t>
      </w:r>
      <w:r>
        <w:rPr>
          <w:rStyle w:val="25"/>
          <w:rFonts w:hint="eastAsia" w:ascii="宋体" w:hAnsi="宋体" w:cs="宋体"/>
          <w:color w:val="auto"/>
          <w:highlight w:val="none"/>
        </w:rPr>
        <w:t>联合体牵头方的单位负责人或其授权的委托代理人签字</w:t>
      </w:r>
      <w:r>
        <w:rPr>
          <w:rFonts w:hint="eastAsia" w:ascii="宋体" w:hAnsi="宋体" w:cs="宋体"/>
          <w:color w:val="auto"/>
          <w:highlight w:val="none"/>
        </w:rPr>
        <w:t>，由委托代理人签字的，应提供“单位负责人授权书”。</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1.4</w:t>
      </w:r>
      <w:r>
        <w:rPr>
          <w:rStyle w:val="25"/>
          <w:rFonts w:hint="eastAsia" w:ascii="宋体" w:hAnsi="宋体" w:cs="宋体"/>
          <w:color w:val="auto"/>
          <w:highlight w:val="none"/>
        </w:rPr>
        <w:t>“其他组织”</w:t>
      </w:r>
      <w:r>
        <w:rPr>
          <w:rFonts w:hint="eastAsia" w:ascii="宋体" w:hAnsi="宋体" w:cs="宋体"/>
          <w:color w:val="auto"/>
          <w:highlight w:val="none"/>
        </w:rPr>
        <w:t>指合伙企业、非企业专业服务机构、个体工商户、农村承包经营户等。</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1.5</w:t>
      </w:r>
      <w:r>
        <w:rPr>
          <w:rStyle w:val="25"/>
          <w:rFonts w:hint="eastAsia" w:ascii="宋体" w:hAnsi="宋体" w:cs="宋体"/>
          <w:color w:val="auto"/>
          <w:highlight w:val="none"/>
        </w:rPr>
        <w:t>“自然人”</w:t>
      </w:r>
      <w:r>
        <w:rPr>
          <w:rFonts w:hint="eastAsia" w:ascii="宋体" w:hAnsi="宋体" w:cs="宋体"/>
          <w:color w:val="auto"/>
          <w:highlight w:val="none"/>
        </w:rPr>
        <w:t>指具有完全民事行为能力、能够承担民事责任和义务的中国公民。</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2、除招标文件另有规定外，本章中</w:t>
      </w:r>
      <w:r>
        <w:rPr>
          <w:rStyle w:val="25"/>
          <w:rFonts w:hint="eastAsia" w:ascii="宋体" w:hAnsi="宋体" w:cs="宋体"/>
          <w:color w:val="auto"/>
          <w:highlight w:val="none"/>
        </w:rPr>
        <w:t>“投标人的资格及资信证明文件”</w:t>
      </w:r>
      <w:r>
        <w:rPr>
          <w:rFonts w:hint="eastAsia" w:ascii="宋体" w:hAnsi="宋体" w:cs="宋体"/>
          <w:color w:val="auto"/>
          <w:highlight w:val="none"/>
        </w:rPr>
        <w:t>：</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2.1投标人应按照招标文件第四章第1.3条第（2）款规定及本章规定进行编制，如有必要，可增加附页，附页作为资格及资信文件的组成部分。</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2.2接受联合体投标且投标人为联合体的，联合体中的各方均应按照本章第2.1条规定提交相应的全部资料。</w:t>
      </w:r>
    </w:p>
    <w:p>
      <w:pPr>
        <w:pStyle w:val="18"/>
        <w:widowControl/>
        <w:spacing w:after="150"/>
        <w:ind w:firstLine="480"/>
        <w:rPr>
          <w:rFonts w:ascii="宋体" w:hAnsi="宋体" w:cs="宋体"/>
          <w:color w:val="auto"/>
          <w:highlight w:val="none"/>
        </w:rPr>
      </w:pPr>
      <w:r>
        <w:rPr>
          <w:rFonts w:hint="eastAsia" w:ascii="宋体" w:hAnsi="宋体" w:cs="宋体"/>
          <w:color w:val="auto"/>
          <w:highlight w:val="none"/>
        </w:rPr>
        <w:t>3、投标人对投标文件的索引应编制页码。</w:t>
      </w:r>
    </w:p>
    <w:p>
      <w:pPr>
        <w:widowControl/>
        <w:spacing w:before="100" w:beforeAutospacing="1" w:after="100" w:afterAutospacing="1"/>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4、本章提供格式仅供参考，投标人应根据自身实际情况制作投标文件。</w:t>
      </w:r>
    </w:p>
    <w:p>
      <w:pPr>
        <w:widowControl/>
        <w:spacing w:before="75" w:after="75"/>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rPr>
          <w:rFonts w:ascii="宋体" w:hAnsi="宋体" w:cs="宋体"/>
          <w:b/>
          <w:bCs/>
          <w:color w:val="auto"/>
          <w:kern w:val="0"/>
          <w:sz w:val="29"/>
          <w:highlight w:val="none"/>
        </w:rPr>
      </w:pPr>
      <w:r>
        <w:rPr>
          <w:rFonts w:hint="eastAsia" w:ascii="宋体" w:hAnsi="宋体" w:cs="宋体"/>
          <w:b/>
          <w:bCs/>
          <w:color w:val="auto"/>
          <w:kern w:val="0"/>
          <w:sz w:val="29"/>
          <w:highlight w:val="none"/>
        </w:rPr>
        <w:br w:type="page"/>
      </w:r>
    </w:p>
    <w:p>
      <w:pPr>
        <w:widowControl/>
        <w:spacing w:before="75" w:after="75"/>
        <w:ind w:firstLine="480"/>
        <w:jc w:val="left"/>
        <w:rPr>
          <w:rFonts w:ascii="宋体" w:hAnsi="宋体" w:cs="宋体"/>
          <w:color w:val="auto"/>
          <w:kern w:val="0"/>
          <w:sz w:val="24"/>
          <w:highlight w:val="none"/>
        </w:rPr>
      </w:pPr>
      <w:r>
        <w:rPr>
          <w:rFonts w:hint="eastAsia" w:ascii="宋体" w:hAnsi="宋体" w:cs="宋体"/>
          <w:b/>
          <w:bCs/>
          <w:color w:val="auto"/>
          <w:kern w:val="0"/>
          <w:sz w:val="29"/>
          <w:highlight w:val="none"/>
        </w:rPr>
        <w:t>封面格式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36"/>
          <w:szCs w:val="36"/>
          <w:highlight w:val="none"/>
        </w:rPr>
        <w:t> </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line="360" w:lineRule="auto"/>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（资格及资信证明部分）</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line="360" w:lineRule="auto"/>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0"/>
        <w:ind w:left="420" w:firstLine="480"/>
        <w:rPr>
          <w:color w:val="auto"/>
          <w:highlight w:val="none"/>
        </w:rPr>
      </w:pPr>
    </w:p>
    <w:p>
      <w:pPr>
        <w:widowControl/>
        <w:spacing w:before="75" w:after="75"/>
        <w:jc w:val="center"/>
        <w:rPr>
          <w:rFonts w:ascii="宋体" w:hAnsi="宋体" w:cs="宋体"/>
          <w:color w:val="auto"/>
          <w:kern w:val="0"/>
          <w:sz w:val="30"/>
          <w:szCs w:val="30"/>
          <w:highlight w:val="none"/>
        </w:rPr>
      </w:pPr>
      <w:r>
        <w:rPr>
          <w:rFonts w:hint="eastAsia" w:ascii="宋体" w:hAnsi="宋体" w:cs="宋体"/>
          <w:color w:val="auto"/>
          <w:kern w:val="0"/>
          <w:sz w:val="30"/>
          <w:szCs w:val="30"/>
          <w:highlight w:val="none"/>
        </w:rPr>
        <w:br w:type="textWrapping"/>
      </w:r>
      <w:r>
        <w:rPr>
          <w:rFonts w:hint="eastAsia" w:ascii="宋体" w:hAnsi="宋体" w:cs="宋体"/>
          <w:b/>
          <w:bCs/>
          <w:color w:val="auto"/>
          <w:kern w:val="0"/>
          <w:sz w:val="30"/>
          <w:szCs w:val="30"/>
          <w:highlight w:val="none"/>
        </w:rPr>
        <w:t>索 引</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一、投标函</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二、投标人的资格及资信证明文件</w:t>
      </w:r>
    </w:p>
    <w:p>
      <w:pPr>
        <w:widowControl/>
        <w:spacing w:before="75" w:after="75" w:line="360" w:lineRule="auto"/>
        <w:jc w:val="left"/>
        <w:rPr>
          <w:rFonts w:ascii="宋体" w:hAnsi="宋体" w:cs="宋体"/>
          <w:color w:val="auto"/>
          <w:kern w:val="0"/>
          <w:sz w:val="24"/>
          <w:highlight w:val="none"/>
        </w:rPr>
      </w:pPr>
      <w:r>
        <w:rPr>
          <w:rFonts w:hint="eastAsia" w:ascii="宋体" w:hAnsi="宋体" w:cs="宋体"/>
          <w:color w:val="auto"/>
          <w:kern w:val="0"/>
          <w:sz w:val="29"/>
          <w:szCs w:val="29"/>
          <w:highlight w:val="none"/>
        </w:rPr>
        <w:t>三、投标保证金</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资格及资信证明部分中不得出现报价部分的全部或部分的投标报价信息（或组成资料），否则</w:t>
      </w:r>
      <w:r>
        <w:rPr>
          <w:rFonts w:hint="eastAsia" w:ascii="宋体" w:hAnsi="宋体" w:cs="宋体"/>
          <w:b/>
          <w:bCs/>
          <w:color w:val="auto"/>
          <w:kern w:val="0"/>
          <w:szCs w:val="21"/>
          <w:highlight w:val="none"/>
        </w:rPr>
        <w:t>资格审查不合格</w:t>
      </w:r>
      <w:r>
        <w:rPr>
          <w:rFonts w:hint="eastAsia" w:ascii="宋体" w:hAnsi="宋体" w:cs="宋体"/>
          <w:color w:val="auto"/>
          <w:kern w:val="0"/>
          <w:szCs w:val="21"/>
          <w:highlight w:val="none"/>
        </w:rPr>
        <w:t>。（联合体协议及分包意向协议中的比例规定，不适用本条款）</w:t>
      </w: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left"/>
        <w:rPr>
          <w:rFonts w:ascii="宋体" w:hAnsi="宋体" w:cs="宋体"/>
          <w:color w:val="auto"/>
          <w:kern w:val="0"/>
          <w:szCs w:val="21"/>
          <w:highlight w:val="none"/>
        </w:rPr>
      </w:pP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一、投标函</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w:t>
      </w:r>
      <w:r>
        <w:rPr>
          <w:rFonts w:hint="eastAsia" w:ascii="宋体" w:hAnsi="宋体" w:cs="宋体"/>
          <w:color w:val="auto"/>
          <w:kern w:val="0"/>
          <w:sz w:val="24"/>
          <w:highlight w:val="none"/>
        </w:rPr>
        <w:t>          </w:t>
      </w:r>
    </w:p>
    <w:p>
      <w:pPr>
        <w:widowControl/>
        <w:spacing w:before="100" w:beforeAutospacing="1" w:after="100" w:afterAutospacing="1"/>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兹收到贵单位关于（填写“项目名称”）项目（项目编号：_______）的投标邀请，本投标人代表（填写“全名”）已获得我方正式授权并代表投标人（填写“全称”）参加投标，并提交招标文件规定份数的投标文件正本和副本。我方提交的全部投标文件均由下述部分组成：</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（1）资格及资信证明部分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①投标函</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②投标人的资格及资信证明文件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③投标保证金</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（2）报价部分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①开标一览表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③招标文件规定的价格扣除证明材料（若有）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④招标文件规定的加分证明材料（若有）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（3）技术商务部分</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①标的说明一览表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②技术和服务要求响应表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③商务条件响应表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④投标人提交的其他资料（若有）</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根据本函，本投标人代表宣布我方保证遵守招标文件的全部规定，同时：</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b/>
          <w:bCs/>
          <w:color w:val="auto"/>
          <w:kern w:val="0"/>
          <w:sz w:val="24"/>
          <w:highlight w:val="none"/>
        </w:rPr>
        <w:t>确认：</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1.1</w:t>
      </w:r>
      <w:r>
        <w:rPr>
          <w:rFonts w:hint="eastAsia" w:ascii="宋体" w:hAnsi="宋体" w:cs="宋体"/>
          <w:color w:val="auto"/>
          <w:kern w:val="0"/>
          <w:szCs w:val="21"/>
          <w:highlight w:val="none"/>
        </w:rPr>
        <w:t>所投采购包</w:t>
      </w:r>
      <w:r>
        <w:rPr>
          <w:rFonts w:hint="eastAsia" w:ascii="宋体" w:hAnsi="宋体" w:cs="宋体"/>
          <w:color w:val="auto"/>
          <w:kern w:val="0"/>
          <w:sz w:val="24"/>
          <w:highlight w:val="none"/>
        </w:rPr>
        <w:t>的投标报价详见“开标一览表”及“投标分项报价表”。</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1.2我方已详细审查全部招标文件[包括但不限于：有关附件（若有）、澄清或修改（若有）等]，并自行承担因对全部招标文件理解不正确或误解而产生的相应后果和责任。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b/>
          <w:bCs/>
          <w:color w:val="auto"/>
          <w:kern w:val="0"/>
          <w:sz w:val="24"/>
          <w:highlight w:val="none"/>
        </w:rPr>
        <w:t>承诺及声明：</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2.1我方具备招标文件第一章载明的“投标人的资格要求”且符合招标文件第三章载明的“二、投标人”之规定，否则</w:t>
      </w:r>
      <w:r>
        <w:rPr>
          <w:rFonts w:hint="eastAsia" w:ascii="宋体" w:hAnsi="宋体" w:cs="宋体"/>
          <w:b/>
          <w:bCs/>
          <w:color w:val="auto"/>
          <w:kern w:val="0"/>
          <w:sz w:val="24"/>
          <w:highlight w:val="none"/>
        </w:rPr>
        <w:t>投标无效。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2.2我方提交的投标文件各组成部分的全部内容及资料是不可割离且真实、有效、准确、完整和不具有任何误导性的，否则产生不利后果由我方承担责任。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2.3我方提供的标的价格不高于同期市场价格，否则产生不利后果由我方承担责任。</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2.4投标保证金：若出现招标文件第三章规定的不予退还情形，同意贵单位不予退还。</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2.5投标有效期：按照招标文件第三章规定执行，并在招标文件第二章载明的期限内保持有效。</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2.6若中标，将按照招标文件、我方投标文件及政府采购合同履行责任和义务。</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2.7若贵单位要求，我方同意提供与本项目投标有关的一切资料、数据或文件，并完全理解贵单位不一定要接受最低的投标报价或收到的任何投标。</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2.8我方承诺投标文件所提供的全部资料真实可靠，并接受评标委员会、采购人、采购代理机构、监管部门进一步审查其中任何资料真实性的要求。</w:t>
      </w:r>
    </w:p>
    <w:p>
      <w:pPr>
        <w:widowControl/>
        <w:spacing w:before="75" w:after="75"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2.9除招标文件另有规定外，对于贵单位按照下述联络方式发出的任何信息或通知，均视为我方已收悉前述信息或通知的全部内容：</w:t>
      </w:r>
      <w:r>
        <w:rPr>
          <w:rFonts w:hint="eastAsia" w:ascii="宋体" w:hAnsi="宋体" w:cs="宋体"/>
          <w:color w:val="auto"/>
          <w:kern w:val="0"/>
          <w:szCs w:val="21"/>
          <w:highlight w:val="none"/>
        </w:rPr>
        <w:br w:type="textWrapping"/>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通信地址：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邮编：                 </w:t>
      </w:r>
    </w:p>
    <w:p>
      <w:pPr>
        <w:widowControl/>
        <w:spacing w:before="75" w:after="75"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联系方法：（包括但不限于：联系人、联系电话、手机、传真、电子邮箱等）</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日期：    年   月   日</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br w:type="textWrapping"/>
      </w: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widowControl/>
        <w:spacing w:before="75" w:after="75"/>
        <w:jc w:val="center"/>
        <w:rPr>
          <w:rFonts w:ascii="宋体" w:hAnsi="宋体" w:cs="宋体"/>
          <w:color w:val="auto"/>
          <w:kern w:val="0"/>
          <w:sz w:val="24"/>
          <w:highlight w:val="none"/>
        </w:rPr>
      </w:pPr>
    </w:p>
    <w:p>
      <w:pPr>
        <w:pStyle w:val="7"/>
        <w:rPr>
          <w:color w:val="auto"/>
          <w:highlight w:val="none"/>
        </w:rPr>
      </w:pPr>
    </w:p>
    <w:p>
      <w:pPr>
        <w:widowControl/>
        <w:spacing w:before="75" w:after="75"/>
        <w:jc w:val="center"/>
        <w:rPr>
          <w:rFonts w:ascii="宋体" w:hAnsi="宋体" w:cs="宋体"/>
          <w:color w:val="auto"/>
          <w:kern w:val="0"/>
          <w:sz w:val="24"/>
          <w:highlight w:val="none"/>
        </w:rPr>
      </w:pP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二、投标人的资格及资信证明文件</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二-1单位授权书（若有）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我方的单位负责人</w:t>
      </w:r>
      <w:r>
        <w:rPr>
          <w:rFonts w:hint="eastAsia" w:ascii="宋体" w:hAnsi="宋体" w:cs="宋体"/>
          <w:color w:val="auto"/>
          <w:kern w:val="0"/>
          <w:sz w:val="24"/>
          <w:highlight w:val="none"/>
          <w:u w:val="single"/>
        </w:rPr>
        <w:t>（填写“单位负责人全名”）</w:t>
      </w:r>
      <w:r>
        <w:rPr>
          <w:rFonts w:hint="eastAsia" w:ascii="宋体" w:hAnsi="宋体" w:cs="宋体"/>
          <w:color w:val="auto"/>
          <w:kern w:val="0"/>
          <w:sz w:val="24"/>
          <w:highlight w:val="none"/>
        </w:rPr>
        <w:t>授权</w:t>
      </w:r>
      <w:r>
        <w:rPr>
          <w:rFonts w:hint="eastAsia" w:ascii="宋体" w:hAnsi="宋体" w:cs="宋体"/>
          <w:color w:val="auto"/>
          <w:kern w:val="0"/>
          <w:sz w:val="24"/>
          <w:highlight w:val="none"/>
          <w:u w:val="single"/>
        </w:rPr>
        <w:t>（填写“投标人代表全名”）</w:t>
      </w:r>
      <w:r>
        <w:rPr>
          <w:rFonts w:hint="eastAsia" w:ascii="宋体" w:hAnsi="宋体" w:cs="宋体"/>
          <w:color w:val="auto"/>
          <w:kern w:val="0"/>
          <w:sz w:val="24"/>
          <w:highlight w:val="none"/>
        </w:rPr>
        <w:t>为投标人代表，代表我方参加</w:t>
      </w:r>
      <w:r>
        <w:rPr>
          <w:rFonts w:hint="eastAsia" w:ascii="宋体" w:hAnsi="宋体" w:cs="宋体"/>
          <w:color w:val="auto"/>
          <w:kern w:val="0"/>
          <w:sz w:val="24"/>
          <w:highlight w:val="none"/>
          <w:u w:val="single"/>
        </w:rPr>
        <w:t>（填写“项目名称”）</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widowControl/>
        <w:spacing w:line="40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投标人代表无转委权。特此授权。</w:t>
      </w:r>
    </w:p>
    <w:p>
      <w:pPr>
        <w:widowControl/>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（以下无正文）</w:t>
      </w:r>
    </w:p>
    <w:p>
      <w:pPr>
        <w:widowControl/>
        <w:spacing w:before="75" w:after="75"/>
        <w:ind w:firstLine="420"/>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单位负责人：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手机：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身份证号：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手机：              </w:t>
      </w:r>
    </w:p>
    <w:p>
      <w:pPr>
        <w:widowControl/>
        <w:spacing w:before="75" w:after="75"/>
        <w:jc w:val="left"/>
        <w:rPr>
          <w:rFonts w:ascii="宋体" w:hAnsi="宋体" w:cs="宋体"/>
          <w:color w:val="auto"/>
          <w:kern w:val="0"/>
          <w:sz w:val="24"/>
          <w:highlight w:val="none"/>
        </w:rPr>
      </w:pP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投标人：（全称并加盖单位公章）</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单位法定代表人签字或盖章：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接受授权方</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投标人代表签字：                   </w:t>
      </w:r>
    </w:p>
    <w:p>
      <w:pPr>
        <w:widowControl/>
        <w:spacing w:before="75" w:after="75"/>
        <w:jc w:val="right"/>
        <w:rPr>
          <w:rFonts w:ascii="宋体" w:hAnsi="宋体" w:cs="宋体"/>
          <w:color w:val="auto"/>
          <w:kern w:val="0"/>
          <w:sz w:val="24"/>
          <w:highlight w:val="none"/>
        </w:rPr>
      </w:pPr>
      <w:r>
        <w:rPr>
          <w:rFonts w:hint="eastAsia" w:ascii="宋体" w:hAnsi="宋体" w:cs="宋体"/>
          <w:color w:val="auto"/>
          <w:kern w:val="0"/>
          <w:sz w:val="24"/>
          <w:highlight w:val="none"/>
        </w:rPr>
        <w:t>签署日期：    年   月   日</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附：单位负责人、投标人代表的身份证正反面复印件</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15" w:type="dxa"/>
        </w:trPr>
        <w:tc>
          <w:tcPr>
            <w:tcW w:w="8460" w:type="dxa"/>
            <w:tcBorders>
              <w:top w:val="outset" w:color="auto" w:sz="6" w:space="0"/>
              <w:bottom w:val="outset" w:color="auto" w:sz="6" w:space="0"/>
            </w:tcBorders>
            <w:tcMar>
              <w:top w:w="0" w:type="dxa"/>
              <w:left w:w="105" w:type="dxa"/>
              <w:bottom w:w="0" w:type="dxa"/>
              <w:right w:w="105" w:type="dxa"/>
            </w:tcMar>
            <w:vAlign w:val="center"/>
          </w:tcPr>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要求：真实有效且内容完整、清晰、整洁。</w:t>
            </w:r>
          </w:p>
          <w:p>
            <w:pPr>
              <w:widowControl/>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tc>
      </w:tr>
    </w:tbl>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※注意：</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1、企业（银行、保险、石油石化、电力、电信等行业除外）、事业单位和社会团体法人的“单位负责人”指法定代表人，即与实际提交的“营业执照等证明文件”载明的一致。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3、投标人（自然人除外）：若投标人代表为单位授权的委托代理人，应提供本授权书；若投标人代表为单位负责人，应在此项下提交其身份证正反面复印件，可不提供本授权书。</w:t>
      </w:r>
      <w:r>
        <w:rPr>
          <w:rFonts w:hint="eastAsia" w:ascii="宋体" w:hAnsi="宋体" w:cs="宋体"/>
          <w:color w:val="auto"/>
          <w:kern w:val="0"/>
          <w:sz w:val="24"/>
          <w:highlight w:val="none"/>
        </w:rPr>
        <w:br w:type="textWrapping"/>
      </w:r>
      <w:r>
        <w:rPr>
          <w:rFonts w:hint="eastAsia" w:ascii="宋体" w:hAnsi="宋体" w:cs="宋体"/>
          <w:color w:val="auto"/>
          <w:kern w:val="0"/>
          <w:sz w:val="24"/>
          <w:highlight w:val="none"/>
        </w:rPr>
        <w:t>4、投标人为自然人的，可不填写本授权书。</w:t>
      </w:r>
    </w:p>
    <w:p>
      <w:pPr>
        <w:widowControl/>
        <w:spacing w:line="360" w:lineRule="auto"/>
        <w:jc w:val="left"/>
        <w:rPr>
          <w:rFonts w:ascii="宋体" w:hAnsi="宋体" w:cs="宋体"/>
          <w:b/>
          <w:bCs/>
          <w:color w:val="auto"/>
          <w:kern w:val="0"/>
          <w:sz w:val="24"/>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Fonts w:ascii="宋体" w:hAnsi="宋体" w:cs="宋体"/>
          <w:color w:val="auto"/>
          <w:sz w:val="36"/>
          <w:szCs w:val="36"/>
          <w:highlight w:val="none"/>
        </w:rPr>
      </w:pPr>
      <w:r>
        <w:rPr>
          <w:rStyle w:val="25"/>
          <w:rFonts w:hint="eastAsia" w:ascii="宋体" w:hAnsi="宋体" w:cs="宋体"/>
          <w:color w:val="auto"/>
          <w:highlight w:val="none"/>
        </w:rPr>
        <w:t>二-2营业执照等证明文件</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r>
        <w:rPr>
          <w:rFonts w:hint="eastAsia" w:ascii="宋体" w:hAnsi="宋体" w:cs="宋体"/>
          <w:color w:val="auto"/>
          <w:highlight w:val="none"/>
          <w:u w:val="single"/>
        </w:rPr>
        <w:t>       </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）投标人为法人（包括企业、事业单位和社会团体）的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签发的我方统一社会信用代码</w:t>
      </w:r>
      <w:r>
        <w:rPr>
          <w:rFonts w:hint="eastAsia" w:ascii="宋体" w:hAnsi="宋体" w:cs="宋体"/>
          <w:color w:val="auto"/>
          <w:highlight w:val="none"/>
          <w:u w:val="single"/>
        </w:rPr>
        <w:t>（请填写法人的具体证照名称）</w:t>
      </w:r>
      <w:r>
        <w:rPr>
          <w:rFonts w:hint="eastAsia" w:ascii="宋体" w:hAnsi="宋体" w:cs="宋体"/>
          <w:color w:val="auto"/>
          <w:highlight w:val="none"/>
        </w:rPr>
        <w:t>复印件，该证明材料真实有效，否则我方负全部责任。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）投标人为非法人（包括其他组织、自然人）的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（请填写非自然人的非法人的具体证照名称）</w:t>
      </w:r>
      <w:r>
        <w:rPr>
          <w:rFonts w:hint="eastAsia" w:ascii="宋体" w:hAnsi="宋体" w:cs="宋体"/>
          <w:color w:val="auto"/>
          <w:highlight w:val="none"/>
        </w:rPr>
        <w:t>复印件，该证明材料真实有效，否则我方负全部责任。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w:t>
      </w:r>
      <w:r>
        <w:rPr>
          <w:rFonts w:hint="eastAsia" w:ascii="宋体" w:hAnsi="宋体" w:cs="宋体"/>
          <w:color w:val="auto"/>
          <w:highlight w:val="none"/>
          <w:u w:val="single"/>
        </w:rPr>
        <w:t>（填写“签发机关全称”）</w:t>
      </w:r>
      <w:r>
        <w:rPr>
          <w:rFonts w:hint="eastAsia" w:ascii="宋体" w:hAnsi="宋体" w:cs="宋体"/>
          <w:color w:val="auto"/>
          <w:highlight w:val="none"/>
        </w:rPr>
        <w:t>签发的我方</w:t>
      </w:r>
      <w:r>
        <w:rPr>
          <w:rFonts w:hint="eastAsia" w:ascii="宋体" w:hAnsi="宋体" w:cs="宋体"/>
          <w:color w:val="auto"/>
          <w:highlight w:val="none"/>
          <w:u w:val="single"/>
        </w:rPr>
        <w:t>（请填写自然人的身份证件名称）</w:t>
      </w:r>
      <w:r>
        <w:rPr>
          <w:rFonts w:hint="eastAsia" w:ascii="宋体" w:hAnsi="宋体" w:cs="宋体"/>
          <w:color w:val="auto"/>
          <w:highlight w:val="none"/>
        </w:rPr>
        <w:t>复印件，该证明材料真实有效，否则我方负全部责任。</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※注意：</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sz w:val="24"/>
          <w:highlight w:val="none"/>
        </w:rPr>
      </w:pPr>
      <w:r>
        <w:rPr>
          <w:rFonts w:hint="eastAsia" w:ascii="宋体" w:hAnsi="宋体" w:cs="宋体"/>
          <w:color w:val="auto"/>
          <w:sz w:val="2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jc w:val="center"/>
        <w:rPr>
          <w:rStyle w:val="25"/>
          <w:rFonts w:ascii="宋体" w:hAnsi="宋体" w:cs="宋体"/>
          <w:color w:val="auto"/>
          <w:sz w:val="22"/>
          <w:szCs w:val="22"/>
          <w:highlight w:val="none"/>
        </w:rPr>
      </w:pPr>
    </w:p>
    <w:p>
      <w:pPr>
        <w:pStyle w:val="18"/>
        <w:widowControl/>
        <w:spacing w:line="480" w:lineRule="exact"/>
        <w:jc w:val="center"/>
        <w:rPr>
          <w:rFonts w:ascii="宋体" w:hAnsi="宋体" w:cs="宋体"/>
          <w:color w:val="auto"/>
          <w:sz w:val="32"/>
          <w:szCs w:val="32"/>
          <w:highlight w:val="none"/>
        </w:rPr>
      </w:pPr>
      <w:r>
        <w:rPr>
          <w:rStyle w:val="25"/>
          <w:rFonts w:hint="eastAsia" w:ascii="宋体" w:hAnsi="宋体" w:cs="宋体"/>
          <w:color w:val="auto"/>
          <w:sz w:val="22"/>
          <w:szCs w:val="22"/>
          <w:highlight w:val="none"/>
        </w:rPr>
        <w:t>二-3财务状况报告（财务报告、或资信证明、或投标担保函）</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（采购人或采购代理机构）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）投标人提供财务报告的</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□企业适用：现附上我方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财务报告复印件，包括资产负债表、利润表、现金流量表、所有者权益变动表（若有）及其附注（若有）、会计师事务所营业执照和注册会计师资格证书，上述证明材料真实有效，否则我方负全部责任。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□事业单位适用：现附上我方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财务报告复印件，包括资产负债表、收入支出表（或收入费用表）、财政补助收入支出表（若有）、会计师事务所营业执照和注册会计师资格证书，上述证明材料真实有效，否则我方负全部责任。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□社会团体、民办非企适用：现附上我方</w:t>
      </w:r>
      <w:r>
        <w:rPr>
          <w:rFonts w:hint="eastAsia" w:ascii="宋体" w:hAnsi="宋体" w:cs="宋体"/>
          <w:color w:val="auto"/>
          <w:kern w:val="0"/>
          <w:sz w:val="24"/>
          <w:highlight w:val="none"/>
          <w:u w:val="single"/>
        </w:rPr>
        <w:t>（填写“具体的年度、或半年度、或季度”）</w:t>
      </w:r>
      <w:r>
        <w:rPr>
          <w:rFonts w:hint="eastAsia" w:ascii="宋体" w:hAnsi="宋体" w:cs="宋体"/>
          <w:color w:val="auto"/>
          <w:kern w:val="0"/>
          <w:sz w:val="24"/>
          <w:highlight w:val="none"/>
        </w:rPr>
        <w:t>财务报告复印件，包括资产负债表、业务活动表、现金流量表、会计师事务所营业执照和注册会计师资格证书，上述证明材料真实有效，否则我方负全部责任。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）投标人提供资信证明的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□自然人适用：现附上我方银行：</w:t>
      </w:r>
      <w:r>
        <w:rPr>
          <w:rFonts w:hint="eastAsia" w:ascii="宋体" w:hAnsi="宋体" w:cs="宋体"/>
          <w:color w:val="auto"/>
          <w:highlight w:val="none"/>
          <w:u w:val="single"/>
        </w:rPr>
        <w:t>（填写自然人的“个人账户的开户银行全称”）</w:t>
      </w:r>
      <w:r>
        <w:rPr>
          <w:rFonts w:hint="eastAsia" w:ascii="宋体" w:hAnsi="宋体" w:cs="宋体"/>
          <w:color w:val="auto"/>
          <w:highlight w:val="none"/>
        </w:rPr>
        <w:t>出具的资信证明复印件，上述证明材料真实有效，否则我方负全部责任。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 ）投标人提供投标担保函的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现附上由财政部门认可的政府采购专业担保机构：</w:t>
      </w:r>
      <w:r>
        <w:rPr>
          <w:rFonts w:hint="eastAsia" w:ascii="宋体" w:hAnsi="宋体" w:cs="宋体"/>
          <w:color w:val="auto"/>
          <w:highlight w:val="none"/>
          <w:u w:val="single"/>
        </w:rPr>
        <w:t>（填写“担保机构全称”）</w:t>
      </w:r>
      <w:r>
        <w:rPr>
          <w:rFonts w:hint="eastAsia" w:ascii="宋体" w:hAnsi="宋体" w:cs="宋体"/>
          <w:color w:val="auto"/>
          <w:highlight w:val="none"/>
        </w:rPr>
        <w:t>出具的投标担保函复印件，上述证明材料真实有效，否则我方负全部责任。</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1、请投标人按照实际情况编制填写，在相应的（）中打“√”并选择相应的“□”（若有）后，再按照本格式的要求提供相应证明材料的复印件。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2、投标人提供的财务报告复印件（成立年限按照投标截止时间推算）应符合下列规定：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2.1成立年限满1年及以上的投标人，提供经审计的招标文件规定的年度财务报告。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2.2成立年限满半年但不足1年的投标人，提供该半年度中任一季度的季度财务报告或该半年度的半年度财务报告。</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 w:val="24"/>
          <w:highlight w:val="none"/>
        </w:rPr>
        <w:t xml:space="preserve">※无法按照本格式第2.1、2.2条规定提供财务报告复印件的投标人（包括但不限于：成立年限满1年及以上的投标人、成立年限满半年但不足1年的投标人、成立年限不足半年的投标人），应按照本格式的要求选择提供资信证明复印件。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8"/>
        <w:widowControl/>
        <w:jc w:val="center"/>
        <w:rPr>
          <w:color w:val="auto"/>
          <w:highlight w:val="none"/>
        </w:rPr>
      </w:pPr>
      <w:r>
        <w:rPr>
          <w:rFonts w:hint="eastAsia" w:ascii="宋体" w:hAnsi="宋体" w:cs="宋体"/>
          <w:color w:val="auto"/>
          <w:sz w:val="28"/>
          <w:szCs w:val="28"/>
          <w:highlight w:val="none"/>
        </w:rPr>
        <w:t>二</w:t>
      </w:r>
      <w:r>
        <w:rPr>
          <w:rStyle w:val="25"/>
          <w:rFonts w:hint="eastAsia" w:ascii="宋体" w:hAnsi="宋体" w:cs="宋体"/>
          <w:color w:val="auto"/>
          <w:sz w:val="21"/>
          <w:szCs w:val="21"/>
          <w:highlight w:val="none"/>
        </w:rPr>
        <w:t>-4依法缴纳税收证明材料</w:t>
      </w:r>
    </w:p>
    <w:p>
      <w:pPr>
        <w:pStyle w:val="18"/>
        <w:widowControl/>
        <w:rPr>
          <w:color w:val="auto"/>
          <w:highlight w:val="none"/>
        </w:rPr>
      </w:pPr>
      <w:r>
        <w:rPr>
          <w:rFonts w:hint="eastAsia" w:ascii="宋体" w:hAnsi="宋体" w:cs="宋体"/>
          <w:color w:val="auto"/>
          <w:sz w:val="21"/>
          <w:szCs w:val="21"/>
          <w:highlight w:val="none"/>
        </w:rPr>
        <w:t> </w:t>
      </w:r>
    </w:p>
    <w:p>
      <w:pPr>
        <w:pStyle w:val="18"/>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8"/>
        <w:widowControl/>
        <w:ind w:firstLine="420"/>
        <w:rPr>
          <w:color w:val="auto"/>
          <w:highlight w:val="none"/>
        </w:rPr>
      </w:pPr>
      <w:r>
        <w:rPr>
          <w:rFonts w:hint="eastAsia" w:ascii="宋体" w:hAnsi="宋体" w:cs="宋体"/>
          <w:color w:val="auto"/>
          <w:sz w:val="21"/>
          <w:szCs w:val="21"/>
          <w:highlight w:val="none"/>
        </w:rPr>
        <w:t>1、依法缴纳税收的投标人</w:t>
      </w:r>
    </w:p>
    <w:p>
      <w:pPr>
        <w:pStyle w:val="18"/>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8"/>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8"/>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8"/>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日期间我方缴纳</w:t>
      </w:r>
      <w:r>
        <w:rPr>
          <w:rFonts w:hint="eastAsia" w:ascii="宋体" w:hAnsi="宋体" w:cs="宋体"/>
          <w:color w:val="auto"/>
          <w:sz w:val="21"/>
          <w:szCs w:val="21"/>
          <w:highlight w:val="none"/>
          <w:u w:val="single"/>
        </w:rPr>
        <w:t>（包括但不限于税务机关出具的专用收据、税收缴纳证明或税收代缴银行的缴款收讫凭证）等</w:t>
      </w:r>
      <w:r>
        <w:rPr>
          <w:rFonts w:hint="eastAsia" w:ascii="宋体" w:hAnsi="宋体" w:cs="宋体"/>
          <w:color w:val="auto"/>
          <w:sz w:val="21"/>
          <w:szCs w:val="21"/>
          <w:highlight w:val="none"/>
        </w:rPr>
        <w:t>税收凭据复印件，上述证明材料真实有效，否则我方负全部责任。</w:t>
      </w:r>
    </w:p>
    <w:p>
      <w:pPr>
        <w:pStyle w:val="18"/>
        <w:widowControl/>
        <w:ind w:firstLine="420"/>
        <w:rPr>
          <w:color w:val="auto"/>
          <w:highlight w:val="none"/>
        </w:rPr>
      </w:pPr>
      <w:r>
        <w:rPr>
          <w:rFonts w:hint="eastAsia" w:ascii="宋体" w:hAnsi="宋体" w:cs="宋体"/>
          <w:color w:val="auto"/>
          <w:sz w:val="21"/>
          <w:szCs w:val="21"/>
          <w:highlight w:val="none"/>
        </w:rPr>
        <w:t>2、依法免税的投标人</w:t>
      </w:r>
    </w:p>
    <w:p>
      <w:pPr>
        <w:pStyle w:val="18"/>
        <w:widowControl/>
        <w:ind w:firstLine="420"/>
        <w:rPr>
          <w:color w:val="auto"/>
          <w:highlight w:val="none"/>
        </w:rPr>
      </w:pPr>
      <w:r>
        <w:rPr>
          <w:rFonts w:hint="eastAsia" w:ascii="宋体" w:hAnsi="宋体" w:cs="宋体"/>
          <w:color w:val="auto"/>
          <w:sz w:val="21"/>
          <w:szCs w:val="21"/>
          <w:highlight w:val="none"/>
        </w:rPr>
        <w:t>（ ）现附上我方依法免税证明材料复印件，上述证明材料真实有效，否则我方负全部责任。</w:t>
      </w:r>
    </w:p>
    <w:p>
      <w:pPr>
        <w:pStyle w:val="18"/>
        <w:widowControl/>
        <w:rPr>
          <w:color w:val="auto"/>
          <w:highlight w:val="none"/>
        </w:rPr>
      </w:pPr>
      <w:r>
        <w:rPr>
          <w:rFonts w:ascii="Calibri" w:hAnsi="Calibri" w:cs="Calibri"/>
          <w:color w:val="auto"/>
          <w:sz w:val="21"/>
          <w:szCs w:val="21"/>
          <w:highlight w:val="none"/>
        </w:rPr>
        <w:t> </w:t>
      </w:r>
    </w:p>
    <w:p>
      <w:pPr>
        <w:pStyle w:val="18"/>
        <w:widowControl/>
        <w:rPr>
          <w:color w:val="auto"/>
          <w:highlight w:val="none"/>
        </w:rPr>
      </w:pPr>
      <w:r>
        <w:rPr>
          <w:rFonts w:hint="eastAsia" w:ascii="宋体" w:hAnsi="宋体" w:cs="宋体"/>
          <w:color w:val="auto"/>
          <w:sz w:val="21"/>
          <w:szCs w:val="21"/>
          <w:highlight w:val="none"/>
        </w:rPr>
        <w:t>※注意：</w:t>
      </w:r>
    </w:p>
    <w:p>
      <w:pPr>
        <w:pStyle w:val="18"/>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8"/>
        <w:widowControl/>
        <w:rPr>
          <w:color w:val="auto"/>
          <w:highlight w:val="none"/>
        </w:rPr>
      </w:pPr>
      <w:r>
        <w:rPr>
          <w:rFonts w:hint="eastAsia" w:ascii="宋体" w:hAnsi="宋体" w:cs="宋体"/>
          <w:color w:val="auto"/>
          <w:sz w:val="21"/>
          <w:szCs w:val="21"/>
          <w:highlight w:val="none"/>
        </w:rPr>
        <w:t>2、投标人提供的税收凭据复印件应符合下列规定：</w:t>
      </w:r>
    </w:p>
    <w:p>
      <w:pPr>
        <w:pStyle w:val="18"/>
        <w:widowControl/>
        <w:rPr>
          <w:color w:val="auto"/>
          <w:highlight w:val="none"/>
        </w:rPr>
      </w:pPr>
      <w:r>
        <w:rPr>
          <w:rFonts w:hint="eastAsia" w:ascii="宋体" w:hAnsi="宋体" w:cs="宋体"/>
          <w:color w:val="auto"/>
          <w:sz w:val="21"/>
          <w:szCs w:val="21"/>
          <w:highlight w:val="none"/>
        </w:rPr>
        <w:t>2.1投标截止时间前（不含投标截止时间的当月）已依法缴纳税收的投标人，提供投标截止时间前六个月（不含投标截止时间的当月）中任一月份的税收凭据复印件。</w:t>
      </w:r>
    </w:p>
    <w:p>
      <w:pPr>
        <w:pStyle w:val="18"/>
        <w:widowControl/>
        <w:rPr>
          <w:color w:val="auto"/>
          <w:highlight w:val="none"/>
        </w:rPr>
      </w:pPr>
      <w:r>
        <w:rPr>
          <w:rFonts w:hint="eastAsia" w:ascii="宋体" w:hAnsi="宋体" w:cs="宋体"/>
          <w:color w:val="auto"/>
          <w:sz w:val="21"/>
          <w:szCs w:val="21"/>
          <w:highlight w:val="none"/>
        </w:rPr>
        <w:t>2.2投标截止时间的当月成立且已依法缴纳税收的投标人，提供投标截止时间当月的税收凭据复印件。</w:t>
      </w:r>
    </w:p>
    <w:p>
      <w:pPr>
        <w:pStyle w:val="18"/>
        <w:widowControl/>
        <w:rPr>
          <w:color w:val="auto"/>
          <w:highlight w:val="none"/>
        </w:rPr>
      </w:pPr>
      <w:r>
        <w:rPr>
          <w:rFonts w:hint="eastAsia" w:ascii="宋体" w:hAnsi="宋体" w:cs="宋体"/>
          <w:color w:val="auto"/>
          <w:sz w:val="21"/>
          <w:szCs w:val="21"/>
          <w:highlight w:val="none"/>
        </w:rPr>
        <w:t>2.3投标截止时间的当月成立但因税务机关原因导致其尚未依法缴纳税收的投标人，提供依法缴纳税收承诺书（格式自拟），该承诺书视同税收凭据。</w:t>
      </w:r>
    </w:p>
    <w:p>
      <w:pPr>
        <w:pStyle w:val="18"/>
        <w:widowControl/>
        <w:rPr>
          <w:color w:val="auto"/>
          <w:highlight w:val="none"/>
        </w:rPr>
      </w:pPr>
    </w:p>
    <w:p>
      <w:pPr>
        <w:pStyle w:val="18"/>
        <w:widowControl/>
        <w:rPr>
          <w:color w:val="auto"/>
          <w:highlight w:val="none"/>
        </w:rPr>
      </w:pPr>
      <w:r>
        <w:rPr>
          <w:rFonts w:ascii="Calibri" w:hAnsi="Calibri" w:cs="Calibri"/>
          <w:color w:val="auto"/>
          <w:sz w:val="21"/>
          <w:szCs w:val="21"/>
          <w:highlight w:val="none"/>
        </w:rPr>
        <w:t> </w:t>
      </w:r>
    </w:p>
    <w:p>
      <w:pPr>
        <w:pStyle w:val="18"/>
        <w:widowControl/>
        <w:rPr>
          <w:color w:val="auto"/>
          <w:highlight w:val="none"/>
        </w:rPr>
      </w:pPr>
      <w:r>
        <w:rPr>
          <w:rFonts w:ascii="Calibri" w:hAnsi="Calibri" w:cs="Calibri"/>
          <w:color w:val="auto"/>
          <w:sz w:val="21"/>
          <w:szCs w:val="21"/>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rPr>
          <w:color w:val="auto"/>
          <w:highlight w:val="none"/>
        </w:rPr>
      </w:pPr>
      <w:r>
        <w:rPr>
          <w:rFonts w:hint="eastAsia" w:ascii="宋体" w:hAnsi="宋体" w:cs="宋体"/>
          <w:color w:val="auto"/>
          <w:sz w:val="21"/>
          <w:szCs w:val="21"/>
          <w:highlight w:val="none"/>
        </w:rPr>
        <w:t> </w:t>
      </w:r>
    </w:p>
    <w:p>
      <w:pPr>
        <w:pStyle w:val="18"/>
        <w:widowControl/>
        <w:rPr>
          <w:color w:val="auto"/>
          <w:highlight w:val="none"/>
        </w:rPr>
      </w:pPr>
      <w:r>
        <w:rPr>
          <w:rFonts w:hint="eastAsia" w:ascii="宋体" w:hAnsi="宋体" w:cs="宋体"/>
          <w:color w:val="auto"/>
          <w:sz w:val="21"/>
          <w:szCs w:val="21"/>
          <w:highlight w:val="none"/>
        </w:rPr>
        <w:t> </w:t>
      </w:r>
    </w:p>
    <w:p>
      <w:pPr>
        <w:pStyle w:val="18"/>
        <w:widowControl/>
        <w:jc w:val="center"/>
        <w:rPr>
          <w:rFonts w:ascii="Calibri" w:hAnsi="Calibri" w:cs="Calibri"/>
          <w:color w:val="auto"/>
          <w:sz w:val="21"/>
          <w:szCs w:val="21"/>
          <w:highlight w:val="none"/>
        </w:rPr>
      </w:pPr>
      <w:r>
        <w:rPr>
          <w:rFonts w:ascii="Calibri" w:hAnsi="Calibri" w:cs="Calibri"/>
          <w:color w:val="auto"/>
          <w:sz w:val="21"/>
          <w:szCs w:val="21"/>
          <w:highlight w:val="none"/>
        </w:rPr>
        <w:br w:type="textWrapping"/>
      </w:r>
    </w:p>
    <w:p>
      <w:pPr>
        <w:rPr>
          <w:rFonts w:ascii="Calibri" w:hAnsi="Calibri" w:cs="Calibri"/>
          <w:color w:val="auto"/>
          <w:szCs w:val="21"/>
          <w:highlight w:val="none"/>
        </w:rPr>
      </w:pPr>
      <w:r>
        <w:rPr>
          <w:rFonts w:ascii="Calibri" w:hAnsi="Calibri" w:cs="Calibri"/>
          <w:color w:val="auto"/>
          <w:szCs w:val="21"/>
          <w:highlight w:val="none"/>
        </w:rPr>
        <w:br w:type="page"/>
      </w:r>
    </w:p>
    <w:p>
      <w:pPr>
        <w:pStyle w:val="18"/>
        <w:widowControl/>
        <w:jc w:val="center"/>
        <w:rPr>
          <w:color w:val="auto"/>
          <w:highlight w:val="none"/>
        </w:rPr>
      </w:pPr>
      <w:r>
        <w:rPr>
          <w:rStyle w:val="25"/>
          <w:rFonts w:hint="eastAsia" w:ascii="宋体" w:hAnsi="宋体" w:cs="宋体"/>
          <w:color w:val="auto"/>
          <w:sz w:val="21"/>
          <w:szCs w:val="21"/>
          <w:highlight w:val="none"/>
        </w:rPr>
        <w:t>二-5依法缴纳社会保障资金证明材料</w:t>
      </w:r>
    </w:p>
    <w:p>
      <w:pPr>
        <w:pStyle w:val="18"/>
        <w:widowControl/>
        <w:rPr>
          <w:color w:val="auto"/>
          <w:highlight w:val="none"/>
        </w:rPr>
      </w:pPr>
      <w:r>
        <w:rPr>
          <w:rFonts w:hint="eastAsia" w:ascii="宋体" w:hAnsi="宋体" w:cs="宋体"/>
          <w:color w:val="auto"/>
          <w:sz w:val="21"/>
          <w:szCs w:val="21"/>
          <w:highlight w:val="none"/>
        </w:rPr>
        <w:t> </w:t>
      </w:r>
    </w:p>
    <w:p>
      <w:pPr>
        <w:pStyle w:val="18"/>
        <w:widowControl/>
        <w:rPr>
          <w:color w:val="auto"/>
          <w:highlight w:val="none"/>
        </w:rPr>
      </w:pPr>
      <w:r>
        <w:rPr>
          <w:rFonts w:hint="eastAsia" w:ascii="宋体" w:hAnsi="宋体" w:cs="宋体"/>
          <w:color w:val="auto"/>
          <w:sz w:val="21"/>
          <w:szCs w:val="21"/>
          <w:highlight w:val="none"/>
        </w:rPr>
        <w:t>致：</w:t>
      </w:r>
      <w:r>
        <w:rPr>
          <w:rFonts w:hint="eastAsia" w:ascii="宋体" w:hAnsi="宋体" w:cs="宋体"/>
          <w:color w:val="auto"/>
          <w:sz w:val="21"/>
          <w:szCs w:val="21"/>
          <w:highlight w:val="none"/>
          <w:u w:val="single"/>
        </w:rPr>
        <w:t>           （采购人或采购代理机构） </w:t>
      </w:r>
    </w:p>
    <w:p>
      <w:pPr>
        <w:pStyle w:val="18"/>
        <w:widowControl/>
        <w:ind w:firstLine="420"/>
        <w:rPr>
          <w:color w:val="auto"/>
          <w:highlight w:val="none"/>
        </w:rPr>
      </w:pPr>
      <w:r>
        <w:rPr>
          <w:rFonts w:hint="eastAsia" w:ascii="宋体" w:hAnsi="宋体" w:cs="宋体"/>
          <w:color w:val="auto"/>
          <w:sz w:val="21"/>
          <w:szCs w:val="21"/>
          <w:highlight w:val="none"/>
        </w:rPr>
        <w:t>1、依法缴纳社会保障资金的投标人</w:t>
      </w:r>
    </w:p>
    <w:p>
      <w:pPr>
        <w:pStyle w:val="18"/>
        <w:widowControl/>
        <w:ind w:firstLine="420"/>
        <w:rPr>
          <w:color w:val="auto"/>
          <w:highlight w:val="none"/>
        </w:rPr>
      </w:pPr>
      <w:r>
        <w:rPr>
          <w:rFonts w:hint="eastAsia" w:ascii="宋体" w:hAnsi="宋体" w:cs="宋体"/>
          <w:color w:val="auto"/>
          <w:sz w:val="21"/>
          <w:szCs w:val="21"/>
          <w:highlight w:val="none"/>
        </w:rPr>
        <w:t>（ ）法人（包括企业、事业单位和社会团体）的</w:t>
      </w:r>
    </w:p>
    <w:p>
      <w:pPr>
        <w:pStyle w:val="18"/>
        <w:widowControl/>
        <w:ind w:firstLine="420"/>
        <w:rPr>
          <w:color w:val="auto"/>
          <w:highlight w:val="none"/>
        </w:rPr>
      </w:pPr>
      <w:r>
        <w:rPr>
          <w:rFonts w:hint="eastAsia" w:ascii="宋体" w:hAnsi="宋体" w:cs="宋体"/>
          <w:color w:val="auto"/>
          <w:sz w:val="21"/>
          <w:szCs w:val="21"/>
          <w:highlight w:val="none"/>
        </w:rPr>
        <w:t>现附上自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ind w:firstLine="420"/>
        <w:rPr>
          <w:color w:val="auto"/>
          <w:highlight w:val="none"/>
        </w:rPr>
      </w:pPr>
      <w:r>
        <w:rPr>
          <w:rFonts w:hint="eastAsia" w:ascii="宋体" w:hAnsi="宋体" w:cs="宋体"/>
          <w:color w:val="auto"/>
          <w:sz w:val="21"/>
          <w:szCs w:val="21"/>
          <w:highlight w:val="none"/>
        </w:rPr>
        <w:t>（ ）非法人（包括其他组织、自然人）的</w:t>
      </w:r>
    </w:p>
    <w:p>
      <w:pPr>
        <w:pStyle w:val="18"/>
        <w:widowControl/>
        <w:ind w:firstLine="420"/>
        <w:rPr>
          <w:color w:val="auto"/>
          <w:highlight w:val="none"/>
        </w:rPr>
      </w:pPr>
      <w:r>
        <w:rPr>
          <w:rFonts w:hint="eastAsia" w:ascii="宋体" w:hAnsi="宋体" w:cs="宋体"/>
          <w:color w:val="auto"/>
          <w:sz w:val="21"/>
          <w:szCs w:val="21"/>
          <w:highlight w:val="none"/>
        </w:rPr>
        <w:t>自</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日至</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18"/>
        <w:widowControl/>
        <w:ind w:firstLine="420"/>
        <w:rPr>
          <w:color w:val="auto"/>
          <w:highlight w:val="none"/>
        </w:rPr>
      </w:pPr>
      <w:r>
        <w:rPr>
          <w:rFonts w:hint="eastAsia" w:ascii="宋体" w:hAnsi="宋体" w:cs="宋体"/>
          <w:color w:val="auto"/>
          <w:sz w:val="21"/>
          <w:szCs w:val="21"/>
          <w:highlight w:val="none"/>
        </w:rPr>
        <w:t>2、依法不需要缴纳社会保障资金的投标人</w:t>
      </w:r>
    </w:p>
    <w:p>
      <w:pPr>
        <w:pStyle w:val="18"/>
        <w:widowControl/>
        <w:ind w:firstLine="420"/>
        <w:rPr>
          <w:color w:val="auto"/>
          <w:highlight w:val="none"/>
        </w:rPr>
      </w:pPr>
      <w:r>
        <w:rPr>
          <w:rFonts w:hint="eastAsia" w:ascii="宋体" w:hAnsi="宋体" w:cs="宋体"/>
          <w:color w:val="auto"/>
          <w:sz w:val="21"/>
          <w:szCs w:val="21"/>
          <w:highlight w:val="none"/>
        </w:rPr>
        <w:t>（ ）现附上我方依法不需要缴纳社会保障资金证明材料复印件，上述证明材料真实有效，否则我方负全部责任。</w:t>
      </w:r>
    </w:p>
    <w:p>
      <w:pPr>
        <w:pStyle w:val="18"/>
        <w:widowControl/>
        <w:rPr>
          <w:color w:val="auto"/>
          <w:highlight w:val="none"/>
        </w:rPr>
      </w:pPr>
      <w:r>
        <w:rPr>
          <w:rFonts w:ascii="Calibri" w:hAnsi="Calibri" w:cs="Calibri"/>
          <w:color w:val="auto"/>
          <w:sz w:val="21"/>
          <w:szCs w:val="21"/>
          <w:highlight w:val="none"/>
        </w:rPr>
        <w:t> </w:t>
      </w:r>
    </w:p>
    <w:p>
      <w:pPr>
        <w:pStyle w:val="18"/>
        <w:widowControl/>
        <w:rPr>
          <w:color w:val="auto"/>
          <w:highlight w:val="none"/>
        </w:rPr>
      </w:pPr>
      <w:r>
        <w:rPr>
          <w:rFonts w:hint="eastAsia" w:ascii="宋体" w:hAnsi="宋体" w:cs="宋体"/>
          <w:color w:val="auto"/>
          <w:sz w:val="21"/>
          <w:szCs w:val="21"/>
          <w:highlight w:val="none"/>
        </w:rPr>
        <w:t>※注意：</w:t>
      </w:r>
    </w:p>
    <w:p>
      <w:pPr>
        <w:pStyle w:val="18"/>
        <w:widowControl/>
        <w:rPr>
          <w:color w:val="auto"/>
          <w:highlight w:val="none"/>
        </w:rPr>
      </w:pPr>
      <w:r>
        <w:rPr>
          <w:rFonts w:hint="eastAsia" w:ascii="宋体" w:hAnsi="宋体" w:cs="宋体"/>
          <w:color w:val="auto"/>
          <w:sz w:val="21"/>
          <w:szCs w:val="21"/>
          <w:highlight w:val="none"/>
        </w:rPr>
        <w:t>1、请投标人按照实际情况编制填写，在相应的（）中打“√”，并按照本格式的要求提供相应证明材料的复印件。</w:t>
      </w:r>
    </w:p>
    <w:p>
      <w:pPr>
        <w:pStyle w:val="18"/>
        <w:widowControl/>
        <w:rPr>
          <w:color w:val="auto"/>
          <w:highlight w:val="none"/>
        </w:rPr>
      </w:pPr>
      <w:r>
        <w:rPr>
          <w:rFonts w:hint="eastAsia" w:ascii="宋体" w:hAnsi="宋体" w:cs="宋体"/>
          <w:color w:val="auto"/>
          <w:sz w:val="21"/>
          <w:szCs w:val="21"/>
          <w:highlight w:val="none"/>
        </w:rPr>
        <w:t>2、投标人提供的社会保险凭据复印件应符合下列规定：</w:t>
      </w:r>
    </w:p>
    <w:p>
      <w:pPr>
        <w:pStyle w:val="18"/>
        <w:widowControl/>
        <w:rPr>
          <w:color w:val="auto"/>
          <w:highlight w:val="none"/>
        </w:rPr>
      </w:pPr>
      <w:r>
        <w:rPr>
          <w:rFonts w:hint="eastAsia" w:ascii="宋体" w:hAnsi="宋体" w:cs="宋体"/>
          <w:color w:val="auto"/>
          <w:sz w:val="21"/>
          <w:szCs w:val="21"/>
          <w:highlight w:val="none"/>
        </w:rPr>
        <w:t>2.1投标截止时间前（不含投标截止时间的当月）已依法缴纳社会保障资金的投标人，提供投标截止时间前六个月（不含投标截止时间的当月）中任一月份的社会保险凭据复印件。</w:t>
      </w:r>
    </w:p>
    <w:p>
      <w:pPr>
        <w:pStyle w:val="18"/>
        <w:widowControl/>
        <w:rPr>
          <w:color w:val="auto"/>
          <w:highlight w:val="none"/>
        </w:rPr>
      </w:pPr>
      <w:r>
        <w:rPr>
          <w:rFonts w:hint="eastAsia" w:ascii="宋体" w:hAnsi="宋体" w:cs="宋体"/>
          <w:color w:val="auto"/>
          <w:sz w:val="21"/>
          <w:szCs w:val="21"/>
          <w:highlight w:val="none"/>
        </w:rPr>
        <w:t>2.2投标截止时间的当月成立且已依法缴纳社会保障资金的投标人，提供投标截止时间当月的社会保险凭据复印件。</w:t>
      </w:r>
    </w:p>
    <w:p>
      <w:pPr>
        <w:pStyle w:val="18"/>
        <w:widowControl/>
        <w:rPr>
          <w:color w:val="auto"/>
          <w:highlight w:val="none"/>
        </w:rPr>
      </w:pPr>
      <w:r>
        <w:rPr>
          <w:rFonts w:hint="eastAsia" w:ascii="宋体" w:hAnsi="宋体" w:cs="宋体"/>
          <w:color w:val="auto"/>
          <w:sz w:val="21"/>
          <w:szCs w:val="21"/>
          <w:highlight w:val="none"/>
        </w:rPr>
        <w:t>2.3投标截止时间的当月成立但因税务机关</w:t>
      </w:r>
      <w:r>
        <w:rPr>
          <w:rFonts w:ascii="Calibri" w:hAnsi="Calibri" w:cs="Calibri"/>
          <w:color w:val="auto"/>
          <w:sz w:val="21"/>
          <w:szCs w:val="21"/>
          <w:highlight w:val="none"/>
        </w:rPr>
        <w:t>/</w:t>
      </w:r>
      <w:r>
        <w:rPr>
          <w:rFonts w:hint="eastAsia" w:ascii="宋体" w:hAnsi="宋体" w:cs="宋体"/>
          <w:color w:val="auto"/>
          <w:sz w:val="21"/>
          <w:szCs w:val="21"/>
          <w:highlight w:val="none"/>
        </w:rPr>
        <w:t>社会保障资金管理机关原因导致其尚未依法缴纳社会保障资金的投标人，提供依法缴纳社会保障资金承诺书（格式自拟），该承诺书视同社会保险凭据。</w:t>
      </w:r>
    </w:p>
    <w:p>
      <w:pPr>
        <w:pStyle w:val="18"/>
        <w:widowControl/>
        <w:rPr>
          <w:color w:val="auto"/>
          <w:highlight w:val="none"/>
        </w:rPr>
      </w:pPr>
    </w:p>
    <w:p>
      <w:pPr>
        <w:pStyle w:val="18"/>
        <w:widowControl/>
        <w:rPr>
          <w:color w:val="auto"/>
          <w:highlight w:val="none"/>
        </w:rPr>
      </w:pPr>
      <w:r>
        <w:rPr>
          <w:rFonts w:ascii="Calibri" w:hAnsi="Calibri" w:cs="Calibri"/>
          <w:color w:val="auto"/>
          <w:sz w:val="21"/>
          <w:szCs w:val="21"/>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rPr>
          <w:color w:val="auto"/>
          <w:highlight w:val="none"/>
        </w:rPr>
      </w:pPr>
      <w:r>
        <w:rPr>
          <w:rFonts w:hint="eastAsia" w:ascii="宋体" w:hAnsi="宋体" w:cs="宋体"/>
          <w:color w:val="auto"/>
          <w:sz w:val="21"/>
          <w:szCs w:val="21"/>
          <w:highlight w:val="none"/>
        </w:rPr>
        <w:t> </w:t>
      </w:r>
    </w:p>
    <w:p>
      <w:pPr>
        <w:pStyle w:val="18"/>
        <w:widowControl/>
        <w:spacing w:line="480" w:lineRule="exact"/>
        <w:jc w:val="center"/>
        <w:rPr>
          <w:rStyle w:val="25"/>
          <w:rFonts w:ascii="宋体" w:hAnsi="宋体" w:cs="宋体"/>
          <w:color w:val="auto"/>
          <w:sz w:val="21"/>
          <w:szCs w:val="21"/>
          <w:highlight w:val="none"/>
        </w:rPr>
      </w:pPr>
    </w:p>
    <w:p>
      <w:pPr>
        <w:rPr>
          <w:rStyle w:val="25"/>
          <w:rFonts w:ascii="宋体" w:hAnsi="宋体" w:cs="宋体"/>
          <w:color w:val="auto"/>
          <w:szCs w:val="21"/>
          <w:highlight w:val="none"/>
        </w:rPr>
      </w:pPr>
    </w:p>
    <w:p>
      <w:pPr>
        <w:rPr>
          <w:rStyle w:val="25"/>
          <w:rFonts w:ascii="宋体" w:hAnsi="宋体" w:cs="宋体"/>
          <w:color w:val="auto"/>
          <w:szCs w:val="21"/>
          <w:highlight w:val="none"/>
        </w:rPr>
      </w:pPr>
      <w:r>
        <w:rPr>
          <w:rStyle w:val="25"/>
          <w:rFonts w:hint="eastAsia" w:ascii="宋体" w:hAnsi="宋体" w:cs="宋体"/>
          <w:color w:val="auto"/>
          <w:szCs w:val="21"/>
          <w:highlight w:val="none"/>
        </w:rPr>
        <w:br w:type="page"/>
      </w:r>
    </w:p>
    <w:p>
      <w:pPr>
        <w:pStyle w:val="18"/>
        <w:widowControl/>
        <w:spacing w:line="480" w:lineRule="exact"/>
        <w:jc w:val="center"/>
        <w:rPr>
          <w:rFonts w:ascii="宋体" w:hAnsi="宋体" w:cs="宋体"/>
          <w:color w:val="auto"/>
          <w:sz w:val="28"/>
          <w:szCs w:val="28"/>
          <w:highlight w:val="none"/>
        </w:rPr>
      </w:pPr>
      <w:r>
        <w:rPr>
          <w:rStyle w:val="25"/>
          <w:rFonts w:hint="eastAsia" w:ascii="宋体" w:hAnsi="宋体" w:cs="宋体"/>
          <w:color w:val="auto"/>
          <w:sz w:val="21"/>
          <w:szCs w:val="21"/>
          <w:highlight w:val="none"/>
        </w:rPr>
        <w:t>二-6 具备履行合同所必需设备和专业技术能力的声明函（若有）</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w:t>
      </w:r>
      <w:r>
        <w:rPr>
          <w:rFonts w:hint="eastAsia" w:ascii="宋体" w:hAnsi="宋体" w:cs="宋体"/>
          <w:color w:val="auto"/>
          <w:kern w:val="0"/>
          <w:szCs w:val="21"/>
          <w:highlight w:val="none"/>
          <w:u w:val="single"/>
        </w:rPr>
        <w:t> （采购人或采购代理机构）</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我方具备履行合同所必需的设备和专业技术能力，否则产生不利后果由我方承担责任。</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特此声明。</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※注意：</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1、招标文件未要求投标人提供“具备履行合同所必需的设备和专业技术能力专项证明材料”的，投标人应提供本声明函。</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2、招标文件要求投标人提供“具备履行合同所必需的设备和专业技术能力专项证明材料”的，投标人可不提供本声明函。</w:t>
      </w:r>
    </w:p>
    <w:p>
      <w:pPr>
        <w:pStyle w:val="18"/>
        <w:widowControl/>
        <w:spacing w:line="480" w:lineRule="exact"/>
        <w:ind w:firstLine="420"/>
        <w:rPr>
          <w:rFonts w:ascii="宋体" w:hAnsi="宋体" w:cs="宋体"/>
          <w:color w:val="auto"/>
          <w:highlight w:val="none"/>
        </w:rPr>
      </w:pPr>
      <w:r>
        <w:rPr>
          <w:rFonts w:hint="eastAsia" w:ascii="宋体" w:hAnsi="宋体" w:cs="宋体"/>
          <w:color w:val="auto"/>
          <w:highlight w:val="none"/>
        </w:rPr>
        <w:t>3、请投标人根据实际情况如实声明，否则视为提供虚假材料。</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pStyle w:val="18"/>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5"/>
          <w:rFonts w:hint="eastAsia" w:ascii="宋体" w:hAnsi="宋体" w:cs="宋体"/>
          <w:color w:val="auto"/>
          <w:highlight w:val="none"/>
        </w:rPr>
        <w:t>-7参加采购活动前三年内在经营活动中没有重大违法记录书面声明</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特此声明。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请投标人根据实际情况如实声明，否则</w:t>
      </w:r>
      <w:r>
        <w:rPr>
          <w:rFonts w:hint="eastAsia" w:ascii="宋体" w:hAnsi="宋体" w:cs="宋体"/>
          <w:b/>
          <w:bCs/>
          <w:color w:val="auto"/>
          <w:kern w:val="0"/>
          <w:sz w:val="24"/>
          <w:highlight w:val="none"/>
        </w:rPr>
        <w:t>视为提供虚假材料。</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r>
        <w:rPr>
          <w:rFonts w:hint="eastAsia" w:ascii="宋体" w:hAnsi="宋体" w:cs="宋体"/>
          <w:color w:val="auto"/>
          <w:highlight w:val="none"/>
        </w:rPr>
        <w:t>二</w:t>
      </w:r>
      <w:r>
        <w:rPr>
          <w:rStyle w:val="25"/>
          <w:rFonts w:hint="eastAsia" w:ascii="宋体" w:hAnsi="宋体" w:cs="宋体"/>
          <w:color w:val="auto"/>
          <w:highlight w:val="none"/>
        </w:rPr>
        <w:t>-8信用记录查询结果</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1、由资格审查小组通过网站查询并打印投标人的信用记录。</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3、投标人应了解投标人自身的信用记录情况。当投标人受到200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pStyle w:val="18"/>
        <w:widowControl/>
        <w:spacing w:line="480" w:lineRule="exact"/>
        <w:rPr>
          <w:rFonts w:ascii="宋体" w:hAnsi="宋体" w:cs="宋体"/>
          <w:color w:val="auto"/>
          <w:highlight w:val="none"/>
        </w:rPr>
      </w:pPr>
    </w:p>
    <w:p>
      <w:pPr>
        <w:spacing w:line="400" w:lineRule="exact"/>
        <w:jc w:val="center"/>
        <w:rPr>
          <w:rFonts w:ascii="宋体" w:hAnsi="宋体" w:cs="宋体"/>
          <w:b/>
          <w:color w:val="auto"/>
          <w:sz w:val="24"/>
          <w:highlight w:val="none"/>
          <w:shd w:val="clear" w:color="auto" w:fill="FFFFFF"/>
        </w:rPr>
      </w:pPr>
      <w:r>
        <w:rPr>
          <w:rStyle w:val="25"/>
          <w:rFonts w:hint="eastAsia" w:ascii="宋体" w:hAnsi="宋体" w:cs="宋体"/>
          <w:color w:val="auto"/>
          <w:sz w:val="24"/>
          <w:highlight w:val="none"/>
        </w:rPr>
        <w:t>二-9</w:t>
      </w:r>
      <w:r>
        <w:rPr>
          <w:rFonts w:hint="eastAsia" w:ascii="宋体" w:hAnsi="宋体" w:cs="宋体"/>
          <w:b/>
          <w:color w:val="auto"/>
          <w:sz w:val="24"/>
          <w:highlight w:val="none"/>
          <w:shd w:val="clear" w:color="auto" w:fill="FFFFFF"/>
        </w:rPr>
        <w:t>无行贿犯罪记录承诺函</w:t>
      </w:r>
    </w:p>
    <w:p>
      <w:pPr>
        <w:autoSpaceDN w:val="0"/>
        <w:spacing w:beforeAutospacing="1" w:afterAutospacing="1"/>
        <w:rPr>
          <w:rFonts w:ascii="宋体" w:hAnsi="宋体" w:cs="宋体"/>
          <w:color w:val="auto"/>
          <w:sz w:val="24"/>
          <w:highlight w:val="none"/>
        </w:rPr>
      </w:pPr>
      <w:r>
        <w:rPr>
          <w:rFonts w:hint="eastAsia" w:ascii="宋体" w:hAnsi="宋体" w:cs="宋体"/>
          <w:color w:val="auto"/>
          <w:sz w:val="24"/>
          <w:highlight w:val="none"/>
        </w:rPr>
        <w:t>致：</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我方（</w:t>
      </w:r>
      <w:r>
        <w:rPr>
          <w:rFonts w:hint="eastAsia" w:ascii="宋体" w:hAnsi="宋体" w:cs="宋体"/>
          <w:color w:val="auto"/>
          <w:sz w:val="24"/>
          <w:highlight w:val="none"/>
          <w:u w:val="single"/>
        </w:rPr>
        <w:t xml:space="preserve"> 公司名称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法定代表人 </w:t>
      </w:r>
      <w:r>
        <w:rPr>
          <w:rFonts w:hint="eastAsia" w:ascii="宋体" w:hAnsi="宋体" w:cs="宋体"/>
          <w:color w:val="auto"/>
          <w:sz w:val="24"/>
          <w:highlight w:val="none"/>
        </w:rPr>
        <w:t>）及（</w:t>
      </w:r>
      <w:r>
        <w:rPr>
          <w:rFonts w:hint="eastAsia" w:ascii="宋体" w:hAnsi="宋体" w:cs="宋体"/>
          <w:color w:val="auto"/>
          <w:sz w:val="24"/>
          <w:highlight w:val="none"/>
          <w:u w:val="single"/>
        </w:rPr>
        <w:t xml:space="preserve">  投标代表 </w:t>
      </w:r>
      <w:r>
        <w:rPr>
          <w:rFonts w:hint="eastAsia" w:ascii="宋体" w:hAnsi="宋体" w:cs="宋体"/>
          <w:color w:val="auto"/>
          <w:sz w:val="24"/>
          <w:highlight w:val="none"/>
        </w:rPr>
        <w:t>）承诺在参加采购经营活动中没有行贿犯罪记录，否则产生不利后果由我方承担责任。</w:t>
      </w:r>
    </w:p>
    <w:p>
      <w:pPr>
        <w:autoSpaceDN w:val="0"/>
        <w:spacing w:beforeAutospacing="1" w:afterAutospacing="1"/>
        <w:ind w:firstLine="420"/>
        <w:rPr>
          <w:rFonts w:ascii="宋体" w:hAnsi="宋体" w:cs="宋体"/>
          <w:color w:val="auto"/>
          <w:sz w:val="24"/>
          <w:highlight w:val="none"/>
        </w:rPr>
      </w:pPr>
      <w:r>
        <w:rPr>
          <w:rFonts w:hint="eastAsia" w:ascii="宋体" w:hAnsi="宋体" w:cs="宋体"/>
          <w:color w:val="auto"/>
          <w:sz w:val="24"/>
          <w:highlight w:val="none"/>
        </w:rPr>
        <w:t>特此承诺。</w:t>
      </w:r>
    </w:p>
    <w:p>
      <w:pPr>
        <w:autoSpaceDN w:val="0"/>
        <w:spacing w:beforeAutospacing="1" w:afterAutospacing="1"/>
        <w:rPr>
          <w:rFonts w:ascii="宋体" w:hAnsi="宋体" w:cs="宋体"/>
          <w:color w:val="auto"/>
          <w:sz w:val="24"/>
          <w:highlight w:val="none"/>
        </w:rPr>
      </w:pP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★注意：</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1、纸质响应文件正本中的本材料应为原件。</w:t>
      </w:r>
    </w:p>
    <w:p>
      <w:pPr>
        <w:shd w:val="solid" w:color="FFFFFF" w:fill="auto"/>
        <w:autoSpaceDN w:val="0"/>
        <w:spacing w:beforeAutospacing="1" w:afterAutospacing="1" w:line="340" w:lineRule="exact"/>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2、请</w:t>
      </w:r>
      <w:r>
        <w:rPr>
          <w:rFonts w:hint="eastAsia" w:ascii="宋体" w:hAnsi="宋体" w:cs="宋体"/>
          <w:color w:val="auto"/>
          <w:sz w:val="24"/>
          <w:highlight w:val="none"/>
        </w:rPr>
        <w:t>投标人</w:t>
      </w:r>
      <w:r>
        <w:rPr>
          <w:rFonts w:hint="eastAsia" w:ascii="宋体" w:hAnsi="宋体" w:cs="宋体"/>
          <w:color w:val="auto"/>
          <w:sz w:val="24"/>
          <w:highlight w:val="none"/>
          <w:shd w:val="clear" w:color="auto" w:fill="FFFFFF"/>
        </w:rPr>
        <w:t>根据实际情况如实声明，否则</w:t>
      </w:r>
      <w:r>
        <w:rPr>
          <w:rFonts w:hint="eastAsia" w:ascii="宋体" w:hAnsi="宋体" w:cs="宋体"/>
          <w:b/>
          <w:color w:val="auto"/>
          <w:sz w:val="24"/>
          <w:highlight w:val="none"/>
          <w:shd w:val="clear" w:color="auto" w:fill="FFFFFF"/>
        </w:rPr>
        <w:t>视为提供虚假材料。</w:t>
      </w:r>
    </w:p>
    <w:p>
      <w:pPr>
        <w:pStyle w:val="18"/>
        <w:widowControl/>
        <w:spacing w:line="480" w:lineRule="exact"/>
        <w:jc w:val="center"/>
        <w:rPr>
          <w:rFonts w:ascii="宋体" w:hAnsi="宋体" w:cs="宋体"/>
          <w:color w:val="auto"/>
          <w:highlight w:val="none"/>
        </w:rPr>
      </w:pPr>
    </w:p>
    <w:p>
      <w:pPr>
        <w:pStyle w:val="18"/>
        <w:widowControl/>
        <w:spacing w:line="480" w:lineRule="exact"/>
        <w:rPr>
          <w:rFonts w:ascii="宋体" w:hAnsi="宋体" w:cs="宋体"/>
          <w:color w:val="auto"/>
          <w:highlight w:val="none"/>
        </w:rPr>
      </w:pPr>
      <w:r>
        <w:rPr>
          <w:rFonts w:hint="eastAsia" w:ascii="宋体" w:hAnsi="宋体" w:cs="宋体"/>
          <w:color w:val="auto"/>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pStyle w:val="18"/>
        <w:widowControl/>
        <w:spacing w:line="480" w:lineRule="exact"/>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jc w:val="center"/>
        <w:rPr>
          <w:rFonts w:ascii="宋体" w:hAnsi="宋体" w:cs="宋体"/>
          <w:color w:val="auto"/>
          <w:highlight w:val="none"/>
        </w:rPr>
      </w:pPr>
    </w:p>
    <w:p>
      <w:pPr>
        <w:pStyle w:val="18"/>
        <w:widowControl/>
        <w:spacing w:line="480" w:lineRule="exact"/>
        <w:rPr>
          <w:rFonts w:ascii="宋体" w:hAnsi="宋体" w:cs="宋体"/>
          <w:color w:val="auto"/>
          <w:highlight w:val="none"/>
        </w:rPr>
      </w:pP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150" w:after="150"/>
        <w:jc w:val="center"/>
        <w:outlineLvl w:val="3"/>
        <w:rPr>
          <w:rFonts w:ascii="宋体" w:hAnsi="宋体" w:cs="宋体"/>
          <w:b/>
          <w:bCs/>
          <w:color w:val="auto"/>
          <w:kern w:val="0"/>
          <w:sz w:val="24"/>
          <w:highlight w:val="none"/>
        </w:rPr>
      </w:pPr>
      <w:r>
        <w:rPr>
          <w:rFonts w:hint="eastAsia" w:ascii="宋体" w:hAnsi="宋体" w:cs="宋体"/>
          <w:b/>
          <w:bCs/>
          <w:color w:val="auto"/>
          <w:kern w:val="0"/>
          <w:sz w:val="24"/>
          <w:highlight w:val="none"/>
        </w:rPr>
        <w:t>二-10中小企业声明函</w:t>
      </w:r>
    </w:p>
    <w:p>
      <w:pPr>
        <w:widowControl/>
        <w:spacing w:before="100" w:beforeAutospacing="1" w:after="240"/>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 （采购文件中明确的所属行业 ）行业；</w:t>
      </w:r>
      <w:r>
        <w:rPr>
          <w:rFonts w:hint="eastAsia" w:ascii="宋体" w:hAnsi="宋体" w:cs="宋体"/>
          <w:color w:val="auto"/>
          <w:kern w:val="0"/>
          <w:sz w:val="24"/>
          <w:highlight w:val="none"/>
        </w:rPr>
        <w:t>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企业名称（盖章）：</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240"/>
        <w:jc w:val="left"/>
        <w:rPr>
          <w:rFonts w:ascii="宋体" w:hAnsi="宋体" w:cs="宋体"/>
          <w:color w:val="auto"/>
          <w:kern w:val="0"/>
          <w:sz w:val="24"/>
          <w:highlight w:val="none"/>
        </w:rPr>
      </w:pPr>
    </w:p>
    <w:p>
      <w:pPr>
        <w:pageBreakBefore/>
        <w:widowControl/>
        <w:spacing w:before="150" w:after="150"/>
        <w:jc w:val="center"/>
        <w:outlineLvl w:val="4"/>
        <w:rPr>
          <w:rFonts w:ascii="宋体" w:hAnsi="宋体" w:cs="宋体"/>
          <w:b/>
          <w:bCs/>
          <w:color w:val="auto"/>
          <w:kern w:val="0"/>
          <w:sz w:val="20"/>
          <w:szCs w:val="20"/>
          <w:highlight w:val="none"/>
        </w:rPr>
      </w:pPr>
      <w:r>
        <w:rPr>
          <w:rFonts w:hint="eastAsia" w:ascii="宋体" w:hAnsi="宋体" w:cs="宋体"/>
          <w:b/>
          <w:bCs/>
          <w:color w:val="auto"/>
          <w:kern w:val="0"/>
          <w:sz w:val="24"/>
          <w:highlight w:val="none"/>
        </w:rPr>
        <w:t>中小企业声明函（工程、服务）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Cs w:val="21"/>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 </w:t>
      </w:r>
      <w:r>
        <w:rPr>
          <w:rFonts w:hint="eastAsia" w:ascii="宋体" w:hAnsi="宋体" w:cs="宋体"/>
          <w:color w:val="auto"/>
          <w:kern w:val="0"/>
          <w:szCs w:val="21"/>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  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     </w:t>
      </w: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Cs w:val="21"/>
          <w:highlight w:val="none"/>
        </w:rPr>
      </w:pP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残疾人福利性单位声明函</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（以资格条件落实中小企业扶持政策时适用，若有）</w:t>
      </w:r>
    </w:p>
    <w:p>
      <w:pPr>
        <w:widowControl/>
        <w:spacing w:before="75" w:after="75"/>
        <w:jc w:val="left"/>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 w:val="24"/>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 w:val="24"/>
          <w:highlight w:val="none"/>
        </w:rPr>
        <w:t>货物（不包括使用非残疾人福利性单位注册商标的货物）。（说明：只有部分货物由残疾人福利企业制造的，在该货物后标※）</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）由本投标人承建的（填写“所投采购包、品目号”）工程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）由本投标人承接的（填写“所投采购包、品目号”）服务；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2、若《残疾人福利性单位声明函》内容不真实，</w:t>
      </w:r>
      <w:r>
        <w:rPr>
          <w:rFonts w:hint="eastAsia" w:ascii="宋体" w:hAnsi="宋体" w:cs="宋体"/>
          <w:b/>
          <w:bCs/>
          <w:color w:val="auto"/>
          <w:kern w:val="0"/>
          <w:sz w:val="24"/>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75" w:after="75"/>
        <w:jc w:val="left"/>
        <w:rPr>
          <w:rFonts w:ascii="宋体" w:hAnsi="宋体" w:cs="宋体"/>
          <w:color w:val="auto"/>
          <w:kern w:val="0"/>
          <w:sz w:val="24"/>
          <w:highlight w:val="none"/>
        </w:rPr>
      </w:pP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pStyle w:val="19"/>
        <w:rPr>
          <w:rFonts w:ascii="宋体" w:hAnsi="宋体" w:cs="宋体"/>
          <w:color w:val="auto"/>
          <w:sz w:val="24"/>
          <w:szCs w:val="24"/>
          <w:highlight w:val="none"/>
        </w:rPr>
      </w:pPr>
    </w:p>
    <w:p>
      <w:pPr>
        <w:rPr>
          <w:rFonts w:ascii="宋体" w:hAnsi="宋体" w:cs="宋体"/>
          <w:color w:val="auto"/>
          <w:kern w:val="0"/>
          <w:sz w:val="24"/>
          <w:highlight w:val="none"/>
        </w:rPr>
      </w:pPr>
    </w:p>
    <w:p>
      <w:pPr>
        <w:pStyle w:val="19"/>
        <w:rPr>
          <w:rFonts w:ascii="宋体" w:hAnsi="宋体" w:cs="宋体"/>
          <w:color w:val="auto"/>
          <w:sz w:val="24"/>
          <w:szCs w:val="24"/>
          <w:highlight w:val="none"/>
        </w:rPr>
      </w:pPr>
    </w:p>
    <w:p>
      <w:pPr>
        <w:rPr>
          <w:rFonts w:ascii="宋体" w:hAnsi="宋体" w:cs="宋体"/>
          <w:color w:val="auto"/>
          <w:kern w:val="0"/>
          <w:sz w:val="24"/>
          <w:highlight w:val="none"/>
        </w:rPr>
      </w:pPr>
    </w:p>
    <w:p>
      <w:pPr>
        <w:pStyle w:val="19"/>
        <w:rPr>
          <w:rFonts w:ascii="宋体" w:hAnsi="宋体" w:cs="宋体"/>
          <w:color w:val="auto"/>
          <w:sz w:val="24"/>
          <w:szCs w:val="24"/>
          <w:highlight w:val="none"/>
        </w:rPr>
      </w:pPr>
    </w:p>
    <w:p>
      <w:pPr>
        <w:rPr>
          <w:rFonts w:ascii="宋体" w:hAnsi="宋体" w:cs="宋体"/>
          <w:color w:val="auto"/>
          <w:kern w:val="0"/>
          <w:sz w:val="24"/>
          <w:highlight w:val="none"/>
        </w:rPr>
      </w:pPr>
    </w:p>
    <w:p>
      <w:pPr>
        <w:pStyle w:val="19"/>
        <w:rPr>
          <w:rFonts w:ascii="宋体" w:hAnsi="宋体" w:cs="宋体"/>
          <w:color w:val="auto"/>
          <w:highlight w:val="none"/>
        </w:rPr>
      </w:pPr>
    </w:p>
    <w:p>
      <w:pPr>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附：                          </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投标人为监狱企业，提供本单位制造的货物（承接的服务），并在投标文件中提供省级以上监狱管理局、戒毒管理局（含新疆生产建设兵团）出具的属于监狱企业的证明文件。</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二-11联合体协议</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兹有</w:t>
      </w:r>
      <w:r>
        <w:rPr>
          <w:rFonts w:hint="eastAsia" w:ascii="宋体" w:hAnsi="宋体" w:cs="宋体"/>
          <w:color w:val="auto"/>
          <w:kern w:val="0"/>
          <w:szCs w:val="21"/>
          <w:highlight w:val="none"/>
          <w:u w:val="single"/>
        </w:rPr>
        <w:t>（填写“联合体中各方的全称”，各方的全称之间请用“、”分割）</w:t>
      </w:r>
      <w:r>
        <w:rPr>
          <w:rFonts w:hint="eastAsia" w:ascii="宋体" w:hAnsi="宋体" w:cs="宋体"/>
          <w:color w:val="auto"/>
          <w:kern w:val="0"/>
          <w:szCs w:val="21"/>
          <w:highlight w:val="none"/>
        </w:rPr>
        <w:t>自愿组成联合体，共同参加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）的投标。现就联合体参加本项目投标的有关事宜达成下列协议：</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一、联合体各方应承担的工作和义务具体如下：</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（成员一的全称）</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（填写“工作及义务的具体内容”） </w:t>
      </w: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 w:val="24"/>
          <w:highlight w:val="none"/>
        </w:rPr>
        <w:t>二、联合体各方的合同金额占比，具体如下：</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1.牵头方（</w:t>
      </w:r>
      <w:r>
        <w:rPr>
          <w:rFonts w:hint="eastAsia" w:ascii="宋体" w:hAnsi="宋体" w:cs="宋体"/>
          <w:color w:val="auto"/>
          <w:kern w:val="0"/>
          <w:szCs w:val="21"/>
          <w:highlight w:val="none"/>
          <w:u w:val="single"/>
        </w:rPr>
        <w:t xml:space="preserve">  全称 </w:t>
      </w:r>
      <w:r>
        <w:rPr>
          <w:rFonts w:hint="eastAsia" w:ascii="宋体" w:hAnsi="宋体" w:cs="宋体"/>
          <w:color w:val="auto"/>
          <w:kern w:val="0"/>
          <w:szCs w:val="21"/>
          <w:highlight w:val="none"/>
        </w:rPr>
        <w:t>）的合同金额占合同总额的＿%；</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2.成员方：</w:t>
      </w:r>
    </w:p>
    <w:p>
      <w:pPr>
        <w:widowControl/>
        <w:spacing w:before="100" w:beforeAutospacing="1" w:after="100" w:afterAutospacing="1"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2.1（</w:t>
      </w:r>
      <w:r>
        <w:rPr>
          <w:rFonts w:hint="eastAsia" w:ascii="宋体" w:hAnsi="宋体" w:cs="宋体"/>
          <w:color w:val="auto"/>
          <w:kern w:val="0"/>
          <w:szCs w:val="21"/>
          <w:highlight w:val="none"/>
          <w:u w:val="single"/>
        </w:rPr>
        <w:t xml:space="preserve"> 成员1的全称 </w:t>
      </w:r>
      <w:r>
        <w:rPr>
          <w:rFonts w:hint="eastAsia" w:ascii="宋体" w:hAnsi="宋体" w:cs="宋体"/>
          <w:color w:val="auto"/>
          <w:kern w:val="0"/>
          <w:szCs w:val="21"/>
          <w:highlight w:val="none"/>
        </w:rPr>
        <w:t>）的合同金额占合同总额的＿%；</w:t>
      </w:r>
    </w:p>
    <w:p>
      <w:pPr>
        <w:widowControl/>
        <w:spacing w:before="75" w:after="75" w:line="360" w:lineRule="auto"/>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三、联合体各方约定：</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1、由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2、联合体各方约定由</w:t>
      </w:r>
      <w:r>
        <w:rPr>
          <w:rFonts w:hint="eastAsia" w:ascii="宋体" w:hAnsi="宋体" w:cs="宋体"/>
          <w:color w:val="auto"/>
          <w:kern w:val="0"/>
          <w:szCs w:val="21"/>
          <w:highlight w:val="none"/>
          <w:u w:val="single"/>
        </w:rPr>
        <w:t>（填写“牵头方的全称”）</w:t>
      </w:r>
      <w:r>
        <w:rPr>
          <w:rFonts w:hint="eastAsia" w:ascii="宋体" w:hAnsi="宋体" w:cs="宋体"/>
          <w:color w:val="auto"/>
          <w:kern w:val="0"/>
          <w:szCs w:val="21"/>
          <w:highlight w:val="none"/>
        </w:rPr>
        <w:t>代表联合体办理投标保证金事宜。</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3、</w:t>
      </w:r>
      <w:r>
        <w:rPr>
          <w:rFonts w:hint="eastAsia" w:ascii="宋体" w:hAnsi="宋体" w:cs="宋体"/>
          <w:color w:val="auto"/>
          <w:kern w:val="0"/>
          <w:sz w:val="24"/>
          <w:highlight w:val="none"/>
        </w:rPr>
        <w:t>根据福建省财政厅文件（闽财购[2008]10号）的规定，若本项目采用综合评分法，则联合体只能确定由其中一方的条件参与商务部分的评标。因此，联合体各方约定以</w:t>
      </w:r>
      <w:r>
        <w:rPr>
          <w:rFonts w:hint="eastAsia" w:ascii="宋体" w:hAnsi="宋体" w:cs="宋体"/>
          <w:color w:val="auto"/>
          <w:kern w:val="0"/>
          <w:szCs w:val="21"/>
          <w:highlight w:val="none"/>
          <w:u w:val="single"/>
        </w:rPr>
        <w:t>（应填写“其中一方的全称”，如：联合体确定以成员一的条件参与商务部分的评标，则填写“成员一的全称”…；否则填写“无”）</w:t>
      </w:r>
      <w:r>
        <w:rPr>
          <w:rFonts w:hint="eastAsia" w:ascii="宋体" w:hAnsi="宋体" w:cs="宋体"/>
          <w:color w:val="auto"/>
          <w:kern w:val="0"/>
          <w:szCs w:val="21"/>
          <w:highlight w:val="none"/>
        </w:rPr>
        <w:t>的条件参与商务部分的评标。</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四、若中标，牵头方将代表联合体与采购人就合同签订事宜进行协商；若协商一致，则联合体各方将共同与采购人签订政府采购合同，并就政府采购合同约定的事项对采购人承担连带责任。</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五、本协议自签署之日起生效，政府采购合同履行完毕后自动失效。</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六、本协议一式</w:t>
      </w:r>
      <w:r>
        <w:rPr>
          <w:rFonts w:hint="eastAsia" w:ascii="宋体" w:hAnsi="宋体" w:cs="宋体"/>
          <w:color w:val="auto"/>
          <w:kern w:val="0"/>
          <w:szCs w:val="21"/>
          <w:highlight w:val="none"/>
          <w:u w:val="single"/>
        </w:rPr>
        <w:t>（填写具体份数）</w:t>
      </w:r>
      <w:r>
        <w:rPr>
          <w:rFonts w:hint="eastAsia" w:ascii="宋体" w:hAnsi="宋体" w:cs="宋体"/>
          <w:color w:val="auto"/>
          <w:kern w:val="0"/>
          <w:szCs w:val="21"/>
          <w:highlight w:val="none"/>
        </w:rPr>
        <w:t>份，联合体各方各执一份，投标文件中提交一份。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（以下无正文）</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牵头方：</w:t>
      </w:r>
      <w:r>
        <w:rPr>
          <w:rFonts w:hint="eastAsia" w:ascii="宋体" w:hAnsi="宋体" w:cs="宋体"/>
          <w:color w:val="auto"/>
          <w:kern w:val="0"/>
          <w:szCs w:val="21"/>
          <w:highlight w:val="none"/>
          <w:u w:val="single"/>
        </w:rPr>
        <w:t>（全称并加盖单位公章）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成员一：</w:t>
      </w:r>
      <w:r>
        <w:rPr>
          <w:rFonts w:hint="eastAsia" w:ascii="宋体" w:hAnsi="宋体" w:cs="宋体"/>
          <w:color w:val="auto"/>
          <w:kern w:val="0"/>
          <w:szCs w:val="21"/>
          <w:highlight w:val="none"/>
          <w:u w:val="single"/>
        </w:rPr>
        <w:t>（全称并加盖成员一的单位公章）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成员**：</w:t>
      </w:r>
      <w:r>
        <w:rPr>
          <w:rFonts w:hint="eastAsia" w:ascii="宋体" w:hAnsi="宋体" w:cs="宋体"/>
          <w:color w:val="auto"/>
          <w:kern w:val="0"/>
          <w:szCs w:val="21"/>
          <w:highlight w:val="none"/>
          <w:u w:val="single"/>
        </w:rPr>
        <w:t>（全称并加盖成员**的单位公章）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法定代表人或其委托代理人：</w:t>
      </w:r>
      <w:r>
        <w:rPr>
          <w:rFonts w:hint="eastAsia" w:ascii="宋体" w:hAnsi="宋体" w:cs="宋体"/>
          <w:color w:val="auto"/>
          <w:kern w:val="0"/>
          <w:szCs w:val="21"/>
          <w:highlight w:val="none"/>
          <w:u w:val="single"/>
        </w:rPr>
        <w:t>  （签字或盖章）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签署日期：</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1、招标文件接受联合体投标且投标人为联合体的，投标人应提供本协议；否则无须提供。</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2、本协议由委托代理人签字或盖章的，应按照本章载明的格式提供“单位授权书”。</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3、在以联合体形式落实中小企业预留份额项目中，投标人除了要提供《中小企业声明函》，还需提供本协议。 </w:t>
      </w:r>
    </w:p>
    <w:p>
      <w:pPr>
        <w:rPr>
          <w:rFonts w:ascii="宋体" w:hAnsi="宋体" w:cs="宋体"/>
          <w:b/>
          <w:bCs/>
          <w:color w:val="auto"/>
          <w:kern w:val="0"/>
          <w:sz w:val="24"/>
          <w:highlight w:val="none"/>
        </w:rPr>
      </w:pPr>
      <w:r>
        <w:rPr>
          <w:rFonts w:hint="eastAsia" w:ascii="宋体" w:hAnsi="宋体" w:cs="宋体"/>
          <w:b/>
          <w:bCs/>
          <w:color w:val="auto"/>
          <w:kern w:val="0"/>
          <w:sz w:val="24"/>
          <w:highlight w:val="none"/>
        </w:rPr>
        <w:br w:type="page"/>
      </w:r>
    </w:p>
    <w:p>
      <w:pPr>
        <w:widowControl/>
        <w:spacing w:before="100" w:beforeAutospacing="1" w:after="100" w:afterAutospacing="1"/>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二-12分包意向协议</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甲方（总包方）：</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（即本项目的投标人）</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乙方（分包方）：</w:t>
      </w:r>
      <w:r>
        <w:rPr>
          <w:rFonts w:hint="eastAsia" w:ascii="宋体" w:hAnsi="宋体" w:cs="宋体"/>
          <w:color w:val="auto"/>
          <w:kern w:val="0"/>
          <w:szCs w:val="21"/>
          <w:highlight w:val="none"/>
          <w:u w:val="single"/>
        </w:rPr>
        <w:t>             </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color w:val="auto"/>
          <w:kern w:val="0"/>
          <w:szCs w:val="21"/>
          <w:highlight w:val="none"/>
        </w:rPr>
        <w:t>兹有甲方参加</w:t>
      </w:r>
      <w:r>
        <w:rPr>
          <w:rFonts w:hint="eastAsia" w:ascii="宋体" w:hAnsi="宋体" w:cs="宋体"/>
          <w:color w:val="auto"/>
          <w:kern w:val="0"/>
          <w:szCs w:val="21"/>
          <w:highlight w:val="none"/>
          <w:u w:val="single"/>
        </w:rPr>
        <w:t xml:space="preserve">（填写“项目名称”） </w:t>
      </w:r>
      <w:r>
        <w:rPr>
          <w:rFonts w:hint="eastAsia" w:ascii="宋体" w:hAnsi="宋体" w:cs="宋体"/>
          <w:color w:val="auto"/>
          <w:kern w:val="0"/>
          <w:szCs w:val="21"/>
          <w:highlight w:val="none"/>
        </w:rPr>
        <w:t>项目（项目编号：</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）的政府采购活动。甲方期望将采购项目的部分采购标的分包给乙方完成，而乙方保证能够向甲方提供本</w:t>
      </w:r>
      <w:r>
        <w:rPr>
          <w:rFonts w:hint="eastAsia" w:ascii="宋体" w:hAnsi="宋体" w:cs="宋体"/>
          <w:color w:val="auto"/>
          <w:kern w:val="0"/>
          <w:sz w:val="24"/>
          <w:highlight w:val="none"/>
        </w:rPr>
        <w:t>协议</w:t>
      </w:r>
      <w:r>
        <w:rPr>
          <w:rFonts w:hint="eastAsia" w:ascii="宋体" w:hAnsi="宋体" w:cs="宋体"/>
          <w:color w:val="auto"/>
          <w:kern w:val="0"/>
          <w:szCs w:val="21"/>
          <w:highlight w:val="none"/>
        </w:rPr>
        <w:t>项下的</w:t>
      </w:r>
      <w:r>
        <w:rPr>
          <w:rFonts w:hint="eastAsia" w:ascii="宋体" w:hAnsi="宋体" w:cs="宋体"/>
          <w:color w:val="auto"/>
          <w:kern w:val="0"/>
          <w:sz w:val="24"/>
          <w:highlight w:val="none"/>
        </w:rPr>
        <w:t>采购标的，甲、乙双方就合同分包的有关事宜达成下列协议：</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一、分包标的</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u w:val="single"/>
        </w:rPr>
        <w:t>（根据双方的意向填写，可以是表格或文字描述）</w:t>
      </w:r>
      <w:r>
        <w:rPr>
          <w:rFonts w:hint="eastAsia" w:ascii="宋体" w:hAnsi="宋体" w:cs="宋体"/>
          <w:color w:val="auto"/>
          <w:kern w:val="0"/>
          <w:szCs w:val="21"/>
          <w:highlight w:val="none"/>
        </w:rPr>
        <w:t>。</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二、分包合同金额占比</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分包合同价占投标总价的比例：　　%</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b/>
          <w:bCs/>
          <w:color w:val="auto"/>
          <w:kern w:val="0"/>
          <w:szCs w:val="21"/>
          <w:highlight w:val="none"/>
        </w:rPr>
        <w:t>三、其他条款</w:t>
      </w:r>
    </w:p>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1"/>
        <w:tblW w:w="8400"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90"/>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 甲方：</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单</w:t>
            </w:r>
            <w:r>
              <w:rPr>
                <w:rFonts w:hint="eastAsia" w:ascii="宋体" w:hAnsi="宋体" w:cs="宋体"/>
                <w:color w:val="auto"/>
                <w:spacing w:val="-15"/>
                <w:kern w:val="0"/>
                <w:szCs w:val="21"/>
                <w:highlight w:val="none"/>
              </w:rPr>
              <w:t>位负责人或委托代理人：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联系方法：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24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c>
          <w:tcPr>
            <w:tcW w:w="4065" w:type="dxa"/>
            <w:tcMar>
              <w:top w:w="0" w:type="dxa"/>
              <w:left w:w="105" w:type="dxa"/>
              <w:bottom w:w="0" w:type="dxa"/>
              <w:right w:w="105" w:type="dxa"/>
            </w:tcMar>
            <w:vAlign w:val="center"/>
          </w:tcPr>
          <w:p>
            <w:pPr>
              <w:widowControl/>
              <w:spacing w:line="400" w:lineRule="exact"/>
              <w:rPr>
                <w:rFonts w:ascii="宋体" w:hAnsi="宋体" w:cs="宋体"/>
                <w:color w:val="auto"/>
                <w:kern w:val="0"/>
                <w:sz w:val="24"/>
                <w:highlight w:val="none"/>
              </w:rPr>
            </w:pPr>
            <w:r>
              <w:rPr>
                <w:rFonts w:hint="eastAsia" w:ascii="宋体" w:hAnsi="宋体" w:cs="宋体"/>
                <w:color w:val="auto"/>
                <w:kern w:val="0"/>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40" w:type="dxa"/>
            <w:gridSpan w:val="2"/>
            <w:tcMar>
              <w:top w:w="0" w:type="dxa"/>
              <w:left w:w="105" w:type="dxa"/>
              <w:bottom w:w="0" w:type="dxa"/>
              <w:right w:w="105" w:type="dxa"/>
            </w:tcMar>
          </w:tcPr>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签订地点：</w:t>
            </w:r>
            <w:r>
              <w:rPr>
                <w:rFonts w:hint="eastAsia" w:ascii="宋体" w:hAnsi="宋体" w:cs="宋体"/>
                <w:color w:val="auto"/>
                <w:kern w:val="0"/>
                <w:szCs w:val="21"/>
                <w:highlight w:val="none"/>
                <w:u w:val="single"/>
              </w:rPr>
              <w:t>                </w:t>
            </w:r>
          </w:p>
          <w:p>
            <w:pPr>
              <w:widowControl/>
              <w:spacing w:line="400" w:lineRule="exact"/>
              <w:ind w:left="3045"/>
              <w:jc w:val="left"/>
              <w:rPr>
                <w:rFonts w:ascii="宋体" w:hAnsi="宋体" w:cs="宋体"/>
                <w:color w:val="auto"/>
                <w:kern w:val="0"/>
                <w:sz w:val="24"/>
                <w:highlight w:val="none"/>
              </w:rPr>
            </w:pPr>
            <w:r>
              <w:rPr>
                <w:rFonts w:hint="eastAsia" w:ascii="宋体" w:hAnsi="宋体" w:cs="宋体"/>
                <w:color w:val="auto"/>
                <w:kern w:val="0"/>
                <w:szCs w:val="21"/>
                <w:highlight w:val="none"/>
              </w:rPr>
              <w:t>签订日期：    年   月   日</w:t>
            </w:r>
          </w:p>
        </w:tc>
      </w:tr>
    </w:tbl>
    <w:p>
      <w:pPr>
        <w:widowControl/>
        <w:spacing w:line="400" w:lineRule="exact"/>
        <w:jc w:val="left"/>
        <w:rPr>
          <w:rFonts w:ascii="宋体" w:hAnsi="宋体" w:cs="宋体"/>
          <w:color w:val="auto"/>
          <w:kern w:val="0"/>
          <w:sz w:val="24"/>
          <w:highlight w:val="none"/>
        </w:rPr>
      </w:pPr>
      <w:r>
        <w:rPr>
          <w:rFonts w:hint="eastAsia" w:ascii="宋体" w:hAnsi="宋体" w:cs="宋体"/>
          <w:b/>
          <w:bCs/>
          <w:color w:val="auto"/>
          <w:kern w:val="0"/>
          <w:szCs w:val="21"/>
          <w:highlight w:val="none"/>
        </w:rPr>
        <w:t>※注意：</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1.招标文件接受合同分包且投标人拟将合同分包的，应提供本协议；否则无须提供。</w:t>
      </w:r>
    </w:p>
    <w:p>
      <w:pPr>
        <w:widowControl/>
        <w:spacing w:line="400" w:lineRule="exact"/>
        <w:ind w:firstLine="435"/>
        <w:jc w:val="left"/>
        <w:rPr>
          <w:rFonts w:ascii="宋体" w:hAnsi="宋体" w:cs="宋体"/>
          <w:color w:val="auto"/>
          <w:kern w:val="0"/>
          <w:sz w:val="24"/>
          <w:highlight w:val="none"/>
        </w:rPr>
      </w:pPr>
      <w:r>
        <w:rPr>
          <w:rFonts w:hint="eastAsia" w:ascii="宋体" w:hAnsi="宋体" w:cs="宋体"/>
          <w:b/>
          <w:bCs/>
          <w:color w:val="auto"/>
          <w:kern w:val="0"/>
          <w:szCs w:val="21"/>
          <w:highlight w:val="none"/>
        </w:rPr>
        <w:t>2.本协议由委托代理人签字或盖章的，应按照本章载明的格式提供“单位授权书”。</w:t>
      </w:r>
    </w:p>
    <w:p>
      <w:pPr>
        <w:widowControl/>
        <w:spacing w:line="400" w:lineRule="exact"/>
        <w:ind w:firstLine="435"/>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3.在以合同分包形式落实中小企业预留份额项目中，投标人除了要提供《中小企业声明函》，还需提供本协议。 </w:t>
      </w:r>
    </w:p>
    <w:p>
      <w:pPr>
        <w:pStyle w:val="19"/>
        <w:rPr>
          <w:rFonts w:ascii="宋体" w:hAnsi="宋体" w:cs="宋体"/>
          <w:color w:val="auto"/>
          <w:szCs w:val="21"/>
          <w:highlight w:val="none"/>
        </w:rPr>
      </w:pPr>
    </w:p>
    <w:p>
      <w:pPr>
        <w:rPr>
          <w:rFonts w:ascii="宋体" w:hAnsi="宋体" w:cs="宋体"/>
          <w:b/>
          <w:bCs/>
          <w:color w:val="auto"/>
          <w:kern w:val="0"/>
          <w:szCs w:val="21"/>
          <w:highlight w:val="none"/>
        </w:rPr>
      </w:pPr>
    </w:p>
    <w:p>
      <w:pPr>
        <w:pStyle w:val="19"/>
        <w:rPr>
          <w:rFonts w:ascii="宋体" w:hAnsi="宋体" w:cs="宋体"/>
          <w:color w:val="auto"/>
          <w:highlight w:val="none"/>
        </w:rPr>
      </w:pPr>
    </w:p>
    <w:p>
      <w:pPr>
        <w:rPr>
          <w:rFonts w:ascii="宋体" w:hAnsi="宋体" w:cs="宋体"/>
          <w:b/>
          <w:bCs/>
          <w:color w:val="auto"/>
          <w:kern w:val="0"/>
          <w:szCs w:val="21"/>
          <w:highlight w:val="none"/>
        </w:rPr>
      </w:pPr>
      <w:r>
        <w:rPr>
          <w:rFonts w:hint="eastAsia" w:ascii="宋体" w:hAnsi="宋体" w:cs="宋体"/>
          <w:b/>
          <w:bCs/>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二-13其他资格证明文件（若有）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二</w:t>
      </w:r>
      <w:r>
        <w:rPr>
          <w:rFonts w:hint="eastAsia" w:ascii="宋体" w:hAnsi="宋体" w:cs="宋体"/>
          <w:b/>
          <w:bCs/>
          <w:color w:val="auto"/>
          <w:kern w:val="0"/>
          <w:szCs w:val="21"/>
          <w:highlight w:val="none"/>
        </w:rPr>
        <w:t>-13-①具备履行合同所必需设备和专业技术能力专项证明材料（若有）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（采购人或采购代理机构）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现附上我方具备履行合同所必需的设备和专业技术能力的专项证明材料复印件（具体附后），上述证明材料真实有效，否则我方负全部责任。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1、招标文件要求投标人提供“具备履行合同所必需的设备和专业技术能力专项证明材料”的，投标人应按照招标文件规定在此项下提供相应证明材料复印件。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2、投标人提供的相应证明材料复印件均应符合：内容完整、清晰、整洁，并由投标人加盖其单位公章。</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（全称并加盖单位公章）</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投标人代表签字：</w:t>
      </w:r>
      <w:r>
        <w:rPr>
          <w:rFonts w:hint="eastAsia" w:ascii="宋体" w:hAnsi="宋体" w:cs="宋体"/>
          <w:color w:val="auto"/>
          <w:highlight w:val="none"/>
          <w:u w:val="single"/>
        </w:rPr>
        <w:t>         </w:t>
      </w:r>
    </w:p>
    <w:p>
      <w:pPr>
        <w:pStyle w:val="18"/>
        <w:widowControl/>
        <w:spacing w:line="480" w:lineRule="exact"/>
        <w:rPr>
          <w:rFonts w:ascii="宋体" w:hAnsi="宋体" w:cs="宋体"/>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w:t>
      </w:r>
      <w:r>
        <w:rPr>
          <w:rFonts w:hint="eastAsia" w:ascii="宋体" w:hAnsi="宋体" w:cs="宋体"/>
          <w:color w:val="auto"/>
          <w:highlight w:val="none"/>
        </w:rPr>
        <w:t>年</w:t>
      </w:r>
      <w:r>
        <w:rPr>
          <w:rFonts w:hint="eastAsia" w:ascii="宋体" w:hAnsi="宋体" w:cs="宋体"/>
          <w:color w:val="auto"/>
          <w:highlight w:val="none"/>
          <w:u w:val="single"/>
        </w:rPr>
        <w:t>   </w:t>
      </w:r>
      <w:r>
        <w:rPr>
          <w:rFonts w:hint="eastAsia" w:ascii="宋体" w:hAnsi="宋体" w:cs="宋体"/>
          <w:color w:val="auto"/>
          <w:highlight w:val="none"/>
        </w:rPr>
        <w:t>月</w:t>
      </w:r>
      <w:r>
        <w:rPr>
          <w:rFonts w:hint="eastAsia" w:ascii="宋体" w:hAnsi="宋体" w:cs="宋体"/>
          <w:color w:val="auto"/>
          <w:highlight w:val="none"/>
          <w:u w:val="single"/>
        </w:rPr>
        <w:t>   </w:t>
      </w:r>
      <w:r>
        <w:rPr>
          <w:rFonts w:hint="eastAsia" w:ascii="宋体" w:hAnsi="宋体" w:cs="宋体"/>
          <w:color w:val="auto"/>
          <w:highlight w:val="none"/>
        </w:rPr>
        <w:t>日</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二-13-②招标文件规定的其他资格证明文件（若有）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除招标文件另有规定外，招标文件要求提交的除前述资格证明文件外的其他资格证明文件（若有）加盖投标人的单位公章后应在此项下提交。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三、投标保证金</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1、在此项下提交的</w:t>
      </w:r>
      <w:r>
        <w:rPr>
          <w:rFonts w:hint="eastAsia" w:ascii="宋体" w:hAnsi="宋体" w:cs="宋体"/>
          <w:b/>
          <w:bCs/>
          <w:color w:val="auto"/>
          <w:kern w:val="0"/>
          <w:szCs w:val="21"/>
          <w:highlight w:val="none"/>
        </w:rPr>
        <w:t>“投标保证金”</w:t>
      </w:r>
      <w:r>
        <w:rPr>
          <w:rFonts w:hint="eastAsia" w:ascii="宋体" w:hAnsi="宋体" w:cs="宋体"/>
          <w:color w:val="auto"/>
          <w:kern w:val="0"/>
          <w:szCs w:val="21"/>
          <w:highlight w:val="none"/>
        </w:rPr>
        <w:t>材料可使用转账凭证复印件。</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2、投标保证金是否已提交的认定按照招标文件第三章规定执行。</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75" w:after="75"/>
        <w:rPr>
          <w:rFonts w:ascii="宋体" w:hAnsi="宋体" w:cs="宋体"/>
          <w:b/>
          <w:bCs/>
          <w:color w:val="auto"/>
          <w:kern w:val="0"/>
          <w:sz w:val="24"/>
          <w:highlight w:val="none"/>
        </w:rPr>
      </w:pPr>
      <w:r>
        <w:rPr>
          <w:rFonts w:hint="eastAsia" w:ascii="宋体" w:hAnsi="宋体" w:cs="宋体"/>
          <w:b/>
          <w:bCs/>
          <w:color w:val="auto"/>
          <w:kern w:val="0"/>
          <w:sz w:val="24"/>
          <w:highlight w:val="none"/>
        </w:rPr>
        <w:t>封面格式</w:t>
      </w:r>
    </w:p>
    <w:p>
      <w:pPr>
        <w:pStyle w:val="34"/>
        <w:rPr>
          <w:rFonts w:ascii="宋体" w:hAnsi="宋体" w:cs="宋体"/>
          <w:b/>
          <w:bCs/>
          <w:color w:val="auto"/>
          <w:sz w:val="24"/>
          <w:highlight w:val="none"/>
        </w:rPr>
      </w:pPr>
    </w:p>
    <w:p>
      <w:pPr>
        <w:pStyle w:val="3"/>
        <w:rPr>
          <w:rFonts w:ascii="宋体" w:hAnsi="宋体" w:cs="宋体"/>
          <w:color w:val="auto"/>
          <w:highlight w:val="none"/>
        </w:rPr>
      </w:pP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投标文件</w:t>
      </w:r>
    </w:p>
    <w:p>
      <w:pPr>
        <w:widowControl/>
        <w:spacing w:before="75" w:after="75"/>
        <w:jc w:val="center"/>
        <w:rPr>
          <w:rFonts w:ascii="宋体" w:hAnsi="宋体" w:cs="宋体"/>
          <w:color w:val="auto"/>
          <w:kern w:val="0"/>
          <w:sz w:val="52"/>
          <w:szCs w:val="52"/>
          <w:highlight w:val="none"/>
        </w:rPr>
      </w:pPr>
      <w:r>
        <w:rPr>
          <w:rFonts w:hint="eastAsia" w:ascii="宋体" w:hAnsi="宋体" w:cs="宋体"/>
          <w:b/>
          <w:bCs/>
          <w:color w:val="auto"/>
          <w:kern w:val="0"/>
          <w:sz w:val="52"/>
          <w:szCs w:val="52"/>
          <w:highlight w:val="none"/>
        </w:rPr>
        <w:t>（报价部分）</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（填写正本或副本）</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项目名称：（由投标人填写）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项目编号：（由投标人填写）</w:t>
      </w:r>
    </w:p>
    <w:p>
      <w:pPr>
        <w:widowControl/>
        <w:spacing w:before="75" w:after="75"/>
        <w:ind w:firstLine="1920"/>
        <w:jc w:val="left"/>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所投合同包：（由投标人填写）</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投标人：（填写“全称”）</w:t>
      </w:r>
    </w:p>
    <w:p>
      <w:pPr>
        <w:widowControl/>
        <w:spacing w:before="75" w:after="75"/>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（由投标人填写）年（由投标人填写）月</w:t>
      </w:r>
    </w:p>
    <w:p>
      <w:pPr>
        <w:widowControl/>
        <w:spacing w:before="75" w:after="75"/>
        <w:jc w:val="left"/>
        <w:rPr>
          <w:rFonts w:ascii="宋体" w:hAnsi="宋体" w:cs="宋体"/>
          <w:color w:val="auto"/>
          <w:kern w:val="0"/>
          <w:sz w:val="32"/>
          <w:szCs w:val="32"/>
          <w:highlight w:val="none"/>
        </w:rPr>
      </w:pPr>
      <w:r>
        <w:rPr>
          <w:rFonts w:hint="eastAsia" w:ascii="宋体" w:hAnsi="宋体" w:cs="宋体"/>
          <w:color w:val="auto"/>
          <w:kern w:val="0"/>
          <w:sz w:val="32"/>
          <w:szCs w:val="32"/>
          <w:highlight w:val="none"/>
        </w:rPr>
        <w:t> </w:t>
      </w:r>
    </w:p>
    <w:p>
      <w:pPr>
        <w:pStyle w:val="7"/>
        <w:rPr>
          <w:rFonts w:ascii="宋体" w:hAnsi="宋体" w:cs="宋体"/>
          <w:color w:val="auto"/>
          <w:kern w:val="0"/>
          <w:sz w:val="32"/>
          <w:szCs w:val="32"/>
          <w:highlight w:val="none"/>
        </w:rPr>
      </w:pPr>
    </w:p>
    <w:p>
      <w:pPr>
        <w:rPr>
          <w:rFonts w:ascii="宋体" w:hAnsi="宋体" w:cs="宋体"/>
          <w:color w:val="auto"/>
          <w:highlight w:val="none"/>
        </w:rPr>
      </w:pPr>
    </w:p>
    <w:p>
      <w:pPr>
        <w:rPr>
          <w:rFonts w:ascii="宋体" w:hAnsi="宋体" w:cs="宋体"/>
          <w:color w:val="auto"/>
          <w:highlight w:val="none"/>
        </w:rPr>
      </w:pPr>
    </w:p>
    <w:p>
      <w:pPr>
        <w:rPr>
          <w:rStyle w:val="25"/>
          <w:rFonts w:ascii="宋体" w:hAnsi="宋体" w:cs="宋体"/>
          <w:color w:val="auto"/>
          <w:szCs w:val="21"/>
          <w:highlight w:val="none"/>
        </w:rPr>
      </w:pPr>
      <w:r>
        <w:rPr>
          <w:rStyle w:val="25"/>
          <w:rFonts w:hint="eastAsia" w:ascii="宋体" w:hAnsi="宋体" w:cs="宋体"/>
          <w:color w:val="auto"/>
          <w:szCs w:val="21"/>
          <w:highlight w:val="none"/>
        </w:rPr>
        <w:br w:type="page"/>
      </w:r>
    </w:p>
    <w:p>
      <w:pPr>
        <w:pStyle w:val="18"/>
        <w:widowControl/>
        <w:jc w:val="center"/>
        <w:rPr>
          <w:rFonts w:ascii="宋体" w:hAnsi="宋体" w:cs="宋体"/>
          <w:color w:val="auto"/>
          <w:highlight w:val="none"/>
        </w:rPr>
      </w:pPr>
      <w:r>
        <w:rPr>
          <w:rStyle w:val="25"/>
          <w:rFonts w:hint="eastAsia" w:ascii="宋体" w:hAnsi="宋体" w:cs="宋体"/>
          <w:color w:val="auto"/>
          <w:sz w:val="21"/>
          <w:szCs w:val="21"/>
          <w:highlight w:val="none"/>
        </w:rPr>
        <w:t>一、开标一览表</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招标编号：</w:t>
      </w:r>
      <w:r>
        <w:rPr>
          <w:rFonts w:hint="eastAsia" w:ascii="宋体" w:hAnsi="宋体" w:cs="宋体"/>
          <w:color w:val="auto"/>
          <w:sz w:val="21"/>
          <w:szCs w:val="21"/>
          <w:highlight w:val="none"/>
          <w:u w:val="single"/>
        </w:rPr>
        <w:t>              </w:t>
      </w:r>
    </w:p>
    <w:p>
      <w:pPr>
        <w:pStyle w:val="18"/>
        <w:widowControl/>
        <w:jc w:val="right"/>
        <w:rPr>
          <w:rFonts w:ascii="宋体" w:hAnsi="宋体" w:cs="宋体"/>
          <w:color w:val="auto"/>
          <w:sz w:val="21"/>
          <w:szCs w:val="21"/>
          <w:highlight w:val="none"/>
        </w:rPr>
      </w:pPr>
      <w:r>
        <w:rPr>
          <w:rFonts w:hint="eastAsia" w:ascii="宋体" w:hAnsi="宋体" w:cs="宋体"/>
          <w:color w:val="auto"/>
          <w:sz w:val="21"/>
          <w:szCs w:val="21"/>
          <w:highlight w:val="none"/>
        </w:rPr>
        <w:t>货币及单位：人民币元</w:t>
      </w:r>
    </w:p>
    <w:tbl>
      <w:tblPr>
        <w:tblStyle w:val="21"/>
        <w:tblW w:w="90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558"/>
        <w:gridCol w:w="1200"/>
        <w:gridCol w:w="1730"/>
        <w:gridCol w:w="854"/>
        <w:gridCol w:w="935"/>
        <w:gridCol w:w="1188"/>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09" w:hRule="atLeast"/>
        </w:trPr>
        <w:tc>
          <w:tcPr>
            <w:tcW w:w="583" w:type="dxa"/>
            <w:noWrap/>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合同包</w:t>
            </w:r>
          </w:p>
        </w:tc>
        <w:tc>
          <w:tcPr>
            <w:tcW w:w="1558"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200"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单价</w:t>
            </w:r>
          </w:p>
        </w:tc>
        <w:tc>
          <w:tcPr>
            <w:tcW w:w="1730"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投标报价总价</w:t>
            </w:r>
          </w:p>
        </w:tc>
        <w:tc>
          <w:tcPr>
            <w:tcW w:w="854"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地点</w:t>
            </w:r>
          </w:p>
        </w:tc>
        <w:tc>
          <w:tcPr>
            <w:tcW w:w="935"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交货</w:t>
            </w:r>
          </w:p>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时间</w:t>
            </w:r>
          </w:p>
        </w:tc>
        <w:tc>
          <w:tcPr>
            <w:tcW w:w="1188"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投标保证金</w:t>
            </w:r>
          </w:p>
        </w:tc>
        <w:tc>
          <w:tcPr>
            <w:tcW w:w="1004" w:type="dxa"/>
            <w:noWrap/>
            <w:vAlign w:val="center"/>
          </w:tcPr>
          <w:p>
            <w:pPr>
              <w:pStyle w:val="18"/>
              <w:widowControl/>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2" w:hRule="atLeast"/>
        </w:trPr>
        <w:tc>
          <w:tcPr>
            <w:tcW w:w="583" w:type="dxa"/>
            <w:noWrap/>
            <w:vAlign w:val="center"/>
          </w:tcPr>
          <w:p>
            <w:pPr>
              <w:spacing w:line="5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58" w:type="dxa"/>
            <w:noWrap/>
            <w:vAlign w:val="center"/>
          </w:tcPr>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sz w:val="21"/>
                <w:szCs w:val="21"/>
                <w:highlight w:val="none"/>
              </w:rPr>
            </w:pPr>
          </w:p>
        </w:tc>
        <w:tc>
          <w:tcPr>
            <w:tcW w:w="1200" w:type="dxa"/>
            <w:noWrap/>
            <w:vAlign w:val="center"/>
          </w:tcPr>
          <w:p>
            <w:pPr>
              <w:pStyle w:val="18"/>
              <w:widowControl/>
              <w:jc w:val="center"/>
              <w:rPr>
                <w:rFonts w:ascii="宋体" w:hAnsi="宋体" w:cs="宋体"/>
                <w:color w:val="auto"/>
                <w:sz w:val="21"/>
                <w:szCs w:val="21"/>
                <w:highlight w:val="none"/>
              </w:rPr>
            </w:pPr>
          </w:p>
        </w:tc>
        <w:tc>
          <w:tcPr>
            <w:tcW w:w="1730" w:type="dxa"/>
            <w:noWrap/>
            <w:vAlign w:val="center"/>
          </w:tcPr>
          <w:p>
            <w:pPr>
              <w:pStyle w:val="18"/>
              <w:widowControl/>
              <w:jc w:val="center"/>
              <w:rPr>
                <w:rFonts w:ascii="宋体" w:hAnsi="宋体" w:cs="宋体"/>
                <w:color w:val="auto"/>
                <w:sz w:val="21"/>
                <w:szCs w:val="21"/>
                <w:highlight w:val="none"/>
              </w:rPr>
            </w:pPr>
          </w:p>
        </w:tc>
        <w:tc>
          <w:tcPr>
            <w:tcW w:w="854" w:type="dxa"/>
            <w:noWrap/>
            <w:vAlign w:val="center"/>
          </w:tcPr>
          <w:p>
            <w:pPr>
              <w:pStyle w:val="18"/>
              <w:widowControl/>
              <w:jc w:val="center"/>
              <w:rPr>
                <w:rFonts w:ascii="宋体" w:hAnsi="宋体" w:cs="宋体"/>
                <w:color w:val="auto"/>
                <w:sz w:val="21"/>
                <w:szCs w:val="21"/>
                <w:highlight w:val="none"/>
              </w:rPr>
            </w:pPr>
          </w:p>
        </w:tc>
        <w:tc>
          <w:tcPr>
            <w:tcW w:w="935" w:type="dxa"/>
            <w:noWrap/>
            <w:vAlign w:val="center"/>
          </w:tcPr>
          <w:p>
            <w:pPr>
              <w:pStyle w:val="18"/>
              <w:widowControl/>
              <w:jc w:val="center"/>
              <w:rPr>
                <w:rFonts w:ascii="宋体" w:hAnsi="宋体" w:cs="宋体"/>
                <w:color w:val="auto"/>
                <w:sz w:val="21"/>
                <w:szCs w:val="21"/>
                <w:highlight w:val="none"/>
              </w:rPr>
            </w:pPr>
          </w:p>
        </w:tc>
        <w:tc>
          <w:tcPr>
            <w:tcW w:w="1188" w:type="dxa"/>
            <w:noWrap/>
            <w:vAlign w:val="center"/>
          </w:tcPr>
          <w:p>
            <w:pPr>
              <w:pStyle w:val="18"/>
              <w:widowControl/>
              <w:jc w:val="center"/>
              <w:rPr>
                <w:rFonts w:ascii="宋体" w:hAnsi="宋体" w:cs="宋体"/>
                <w:color w:val="auto"/>
                <w:sz w:val="21"/>
                <w:szCs w:val="21"/>
                <w:highlight w:val="none"/>
              </w:rPr>
            </w:pPr>
          </w:p>
        </w:tc>
        <w:tc>
          <w:tcPr>
            <w:tcW w:w="1004" w:type="dxa"/>
            <w:noWrap/>
            <w:vAlign w:val="center"/>
          </w:tcPr>
          <w:p>
            <w:pPr>
              <w:pStyle w:val="18"/>
              <w:widowControl/>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83" w:type="dxa"/>
            <w:noWrap/>
            <w:vAlign w:val="center"/>
          </w:tcPr>
          <w:p>
            <w:pPr>
              <w:spacing w:line="500" w:lineRule="exact"/>
              <w:jc w:val="center"/>
              <w:rPr>
                <w:rFonts w:ascii="宋体" w:hAnsi="宋体" w:cs="宋体"/>
                <w:color w:val="auto"/>
                <w:sz w:val="24"/>
                <w:highlight w:val="none"/>
              </w:rPr>
            </w:pPr>
          </w:p>
        </w:tc>
        <w:tc>
          <w:tcPr>
            <w:tcW w:w="1558" w:type="dxa"/>
            <w:noWrap/>
            <w:vAlign w:val="center"/>
          </w:tcPr>
          <w:p>
            <w:pPr>
              <w:spacing w:line="500" w:lineRule="exact"/>
              <w:jc w:val="center"/>
              <w:rPr>
                <w:rFonts w:ascii="宋体" w:hAnsi="宋体" w:cs="宋体"/>
                <w:color w:val="auto"/>
                <w:sz w:val="24"/>
                <w:highlight w:val="none"/>
              </w:rPr>
            </w:pPr>
          </w:p>
        </w:tc>
        <w:tc>
          <w:tcPr>
            <w:tcW w:w="1200" w:type="dxa"/>
            <w:noWrap/>
            <w:vAlign w:val="center"/>
          </w:tcPr>
          <w:p>
            <w:pPr>
              <w:spacing w:line="500" w:lineRule="exact"/>
              <w:jc w:val="center"/>
              <w:rPr>
                <w:rFonts w:ascii="宋体" w:hAnsi="宋体" w:cs="宋体"/>
                <w:color w:val="auto"/>
                <w:sz w:val="24"/>
                <w:highlight w:val="none"/>
              </w:rPr>
            </w:pPr>
          </w:p>
        </w:tc>
        <w:tc>
          <w:tcPr>
            <w:tcW w:w="1730" w:type="dxa"/>
            <w:noWrap/>
            <w:vAlign w:val="center"/>
          </w:tcPr>
          <w:p>
            <w:pPr>
              <w:spacing w:line="500" w:lineRule="exact"/>
              <w:jc w:val="center"/>
              <w:rPr>
                <w:rFonts w:ascii="宋体" w:hAnsi="宋体" w:cs="宋体"/>
                <w:color w:val="auto"/>
                <w:sz w:val="24"/>
                <w:highlight w:val="none"/>
              </w:rPr>
            </w:pPr>
          </w:p>
        </w:tc>
        <w:tc>
          <w:tcPr>
            <w:tcW w:w="854" w:type="dxa"/>
            <w:noWrap/>
            <w:vAlign w:val="center"/>
          </w:tcPr>
          <w:p>
            <w:pPr>
              <w:spacing w:line="500" w:lineRule="exact"/>
              <w:rPr>
                <w:rFonts w:ascii="宋体" w:hAnsi="宋体" w:cs="宋体"/>
                <w:color w:val="auto"/>
                <w:sz w:val="24"/>
                <w:highlight w:val="none"/>
              </w:rPr>
            </w:pPr>
          </w:p>
        </w:tc>
        <w:tc>
          <w:tcPr>
            <w:tcW w:w="935" w:type="dxa"/>
            <w:noWrap/>
            <w:vAlign w:val="center"/>
          </w:tcPr>
          <w:p>
            <w:pPr>
              <w:spacing w:line="500" w:lineRule="exact"/>
              <w:rPr>
                <w:rFonts w:ascii="宋体" w:hAnsi="宋体" w:cs="宋体"/>
                <w:color w:val="auto"/>
                <w:sz w:val="24"/>
                <w:highlight w:val="none"/>
              </w:rPr>
            </w:pPr>
          </w:p>
        </w:tc>
        <w:tc>
          <w:tcPr>
            <w:tcW w:w="1188" w:type="dxa"/>
            <w:noWrap/>
            <w:vAlign w:val="center"/>
          </w:tcPr>
          <w:p>
            <w:pPr>
              <w:spacing w:line="500" w:lineRule="exact"/>
              <w:rPr>
                <w:rFonts w:ascii="宋体" w:hAnsi="宋体" w:cs="宋体"/>
                <w:color w:val="auto"/>
                <w:sz w:val="24"/>
                <w:highlight w:val="none"/>
              </w:rPr>
            </w:pPr>
          </w:p>
        </w:tc>
        <w:tc>
          <w:tcPr>
            <w:tcW w:w="1004" w:type="dxa"/>
            <w:noWrap/>
            <w:vAlign w:val="center"/>
          </w:tcPr>
          <w:p>
            <w:pPr>
              <w:spacing w:line="500" w:lineRule="exact"/>
              <w:rPr>
                <w:rFonts w:ascii="宋体" w:hAnsi="宋体" w:cs="宋体"/>
                <w:color w:val="auto"/>
                <w:sz w:val="24"/>
                <w:highlight w:val="none"/>
              </w:rPr>
            </w:pPr>
          </w:p>
        </w:tc>
      </w:tr>
    </w:tbl>
    <w:p>
      <w:pPr>
        <w:pStyle w:val="18"/>
        <w:widowControl/>
        <w:jc w:val="right"/>
        <w:rPr>
          <w:rFonts w:ascii="宋体" w:hAnsi="宋体" w:cs="宋体"/>
          <w:color w:val="auto"/>
          <w:sz w:val="21"/>
          <w:szCs w:val="21"/>
          <w:highlight w:val="none"/>
        </w:rPr>
      </w:pPr>
    </w:p>
    <w:p>
      <w:pPr>
        <w:pStyle w:val="18"/>
        <w:widowControl/>
        <w:rPr>
          <w:rFonts w:ascii="宋体" w:hAnsi="宋体" w:cs="宋体"/>
          <w:color w:val="auto"/>
          <w:highlight w:val="none"/>
        </w:rPr>
      </w:pPr>
      <w:r>
        <w:rPr>
          <w:rFonts w:hint="eastAsia" w:ascii="宋体" w:hAnsi="宋体" w:cs="宋体"/>
          <w:color w:val="auto"/>
          <w:sz w:val="21"/>
          <w:szCs w:val="21"/>
          <w:highlight w:val="none"/>
        </w:rPr>
        <w:t>★注意：</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1、本表应按照下列规定填写：</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1.1投标人应按照本表格式填写所投的合同包的“投标报价”。</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1.2本表中列示的“合同包”应与《投标分项报价表》中列示的“合同包”保持一致，即：若本表中列示的“合同包”为“1”时，《投标分项报价表》中列示的“合同包”亦应为“1”，以此类推。</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1.3“大写金额”指“投标报价”应用“壹、贰、叁、肆、伍、陆、柒、捌、玖、拾、佰、仟、万、亿、元、角、分、零”等进行填写。</w:t>
      </w:r>
    </w:p>
    <w:p>
      <w:pPr>
        <w:pStyle w:val="18"/>
        <w:widowControl/>
        <w:rPr>
          <w:rFonts w:ascii="宋体" w:hAnsi="宋体" w:cs="宋体"/>
          <w:color w:val="auto"/>
          <w:highlight w:val="none"/>
        </w:rPr>
      </w:pP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Style w:val="25"/>
          <w:rFonts w:ascii="宋体" w:hAnsi="宋体" w:cs="宋体"/>
          <w:color w:val="auto"/>
          <w:sz w:val="21"/>
          <w:szCs w:val="21"/>
          <w:highlight w:val="none"/>
        </w:rPr>
      </w:pPr>
    </w:p>
    <w:p>
      <w:pPr>
        <w:pStyle w:val="18"/>
        <w:widowControl/>
        <w:jc w:val="center"/>
        <w:rPr>
          <w:rFonts w:ascii="宋体" w:hAnsi="宋体" w:cs="宋体"/>
          <w:color w:val="auto"/>
          <w:highlight w:val="none"/>
        </w:rPr>
      </w:pPr>
      <w:r>
        <w:rPr>
          <w:rStyle w:val="25"/>
          <w:rFonts w:hint="eastAsia" w:ascii="宋体" w:hAnsi="宋体" w:cs="宋体"/>
          <w:color w:val="auto"/>
          <w:sz w:val="21"/>
          <w:szCs w:val="21"/>
          <w:highlight w:val="none"/>
        </w:rPr>
        <w:t>二、投标分项报价表</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w:t>
      </w:r>
    </w:p>
    <w:p>
      <w:pPr>
        <w:pStyle w:val="18"/>
        <w:widowControl/>
        <w:spacing w:line="340" w:lineRule="exact"/>
        <w:jc w:val="right"/>
        <w:rPr>
          <w:rFonts w:ascii="宋体" w:hAnsi="宋体" w:cs="宋体"/>
          <w:color w:val="auto"/>
          <w:highlight w:val="none"/>
        </w:rPr>
      </w:pPr>
      <w:r>
        <w:rPr>
          <w:rFonts w:hint="eastAsia" w:ascii="宋体" w:hAnsi="宋体" w:cs="宋体"/>
          <w:color w:val="auto"/>
          <w:sz w:val="21"/>
          <w:szCs w:val="21"/>
          <w:highlight w:val="none"/>
        </w:rPr>
        <w:t>货币及单位：人民币元</w:t>
      </w:r>
    </w:p>
    <w:tbl>
      <w:tblPr>
        <w:tblStyle w:val="21"/>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85"/>
        <w:gridCol w:w="956"/>
        <w:gridCol w:w="1498"/>
        <w:gridCol w:w="1236"/>
        <w:gridCol w:w="851"/>
        <w:gridCol w:w="992"/>
        <w:gridCol w:w="589"/>
        <w:gridCol w:w="1088"/>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合同包</w:t>
            </w: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品目号</w:t>
            </w:r>
          </w:p>
        </w:tc>
        <w:tc>
          <w:tcPr>
            <w:tcW w:w="146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投标标的</w:t>
            </w: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规格</w:t>
            </w: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来源地</w:t>
            </w: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单价</w:t>
            </w:r>
          </w:p>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数量</w:t>
            </w: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总价</w:t>
            </w:r>
          </w:p>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（现场）</w:t>
            </w: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r>
              <w:rPr>
                <w:rFonts w:hint="eastAsia" w:ascii="宋体" w:hAnsi="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restart"/>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1</w:t>
            </w:r>
          </w:p>
          <w:p>
            <w:pPr>
              <w:spacing w:line="340" w:lineRule="exact"/>
              <w:rPr>
                <w:rFonts w:ascii="宋体" w:hAnsi="宋体" w:cs="宋体"/>
                <w:color w:val="auto"/>
                <w:highlight w:val="none"/>
              </w:rPr>
            </w:pPr>
          </w:p>
          <w:p>
            <w:pPr>
              <w:pStyle w:val="34"/>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vAlign w:val="center"/>
          </w:tcPr>
          <w:p>
            <w:pPr>
              <w:pStyle w:val="18"/>
              <w:widowControl/>
              <w:spacing w:line="340" w:lineRule="exact"/>
              <w:rPr>
                <w:rFonts w:ascii="宋体" w:hAnsi="宋体" w:cs="宋体"/>
                <w:color w:val="auto"/>
                <w:sz w:val="21"/>
                <w:szCs w:val="21"/>
                <w:highlight w:val="none"/>
              </w:rPr>
            </w:pPr>
          </w:p>
        </w:tc>
        <w:tc>
          <w:tcPr>
            <w:tcW w:w="120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821"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962"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559"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1058"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78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926"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sz w:val="21"/>
                <w:szCs w:val="21"/>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pStyle w:val="34"/>
              <w:spacing w:line="340" w:lineRule="exact"/>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vMerge w:val="continue"/>
            <w:shd w:val="clear" w:color="auto" w:fill="auto"/>
            <w:tcMar>
              <w:top w:w="0" w:type="dxa"/>
              <w:left w:w="105" w:type="dxa"/>
              <w:bottom w:w="0" w:type="dxa"/>
              <w:right w:w="105" w:type="dxa"/>
            </w:tcMar>
            <w:vAlign w:val="center"/>
          </w:tcPr>
          <w:p>
            <w:pPr>
              <w:spacing w:line="340" w:lineRule="exact"/>
              <w:rPr>
                <w:rFonts w:ascii="宋体" w:hAnsi="宋体" w:cs="宋体"/>
                <w:color w:val="auto"/>
                <w:sz w:val="24"/>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440" w:type="dxa"/>
            <w:shd w:val="clear" w:color="auto" w:fill="auto"/>
            <w:tcMar>
              <w:top w:w="0" w:type="dxa"/>
              <w:left w:w="105" w:type="dxa"/>
              <w:bottom w:w="0" w:type="dxa"/>
              <w:right w:w="105" w:type="dxa"/>
            </w:tcMar>
            <w:vAlign w:val="center"/>
          </w:tcPr>
          <w:p>
            <w:pPr>
              <w:pStyle w:val="18"/>
              <w:widowControl/>
              <w:spacing w:line="340" w:lineRule="exact"/>
              <w:jc w:val="center"/>
              <w:rPr>
                <w:rFonts w:ascii="宋体" w:hAnsi="宋体" w:cs="宋体"/>
                <w:color w:val="auto"/>
                <w:highlight w:val="none"/>
              </w:rPr>
            </w:pPr>
          </w:p>
        </w:tc>
        <w:tc>
          <w:tcPr>
            <w:tcW w:w="92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r>
              <w:rPr>
                <w:rFonts w:hint="eastAsia" w:ascii="宋体" w:hAnsi="宋体" w:cs="宋体"/>
                <w:color w:val="auto"/>
                <w:highlight w:val="none"/>
              </w:rPr>
              <w:t>合计</w:t>
            </w:r>
          </w:p>
        </w:tc>
        <w:tc>
          <w:tcPr>
            <w:tcW w:w="146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206" w:type="dxa"/>
            <w:shd w:val="clear" w:color="auto" w:fill="auto"/>
            <w:tcMar>
              <w:top w:w="0" w:type="dxa"/>
              <w:left w:w="105" w:type="dxa"/>
              <w:bottom w:w="0" w:type="dxa"/>
              <w:right w:w="105" w:type="dxa"/>
            </w:tcMar>
            <w:vAlign w:val="center"/>
          </w:tcPr>
          <w:p>
            <w:pPr>
              <w:widowControl/>
              <w:spacing w:line="340" w:lineRule="exact"/>
              <w:jc w:val="left"/>
              <w:rPr>
                <w:rFonts w:ascii="宋体" w:hAnsi="宋体" w:cs="宋体"/>
                <w:color w:val="auto"/>
                <w:highlight w:val="none"/>
              </w:rPr>
            </w:pPr>
          </w:p>
        </w:tc>
        <w:tc>
          <w:tcPr>
            <w:tcW w:w="821"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962"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559"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1058"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c>
          <w:tcPr>
            <w:tcW w:w="780" w:type="dxa"/>
            <w:shd w:val="clear" w:color="auto" w:fill="auto"/>
            <w:tcMar>
              <w:top w:w="0" w:type="dxa"/>
              <w:left w:w="105" w:type="dxa"/>
              <w:bottom w:w="0" w:type="dxa"/>
              <w:right w:w="105" w:type="dxa"/>
            </w:tcMar>
          </w:tcPr>
          <w:p>
            <w:pPr>
              <w:widowControl/>
              <w:spacing w:line="340" w:lineRule="exact"/>
              <w:jc w:val="left"/>
              <w:rPr>
                <w:rFonts w:ascii="宋体" w:hAnsi="宋体" w:cs="宋体"/>
                <w:color w:val="auto"/>
                <w:highlight w:val="none"/>
              </w:rPr>
            </w:pPr>
          </w:p>
        </w:tc>
      </w:tr>
    </w:tbl>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★注意：</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1、本表应按照下列规定填写：</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1.1投标人应按照本表格式填写所投合同包的分项报价，其中：“合同包”、“品目号”、“投标标的”及“数量”应与招标文件《采购标的一览表》中的有关内容（“合同包”、“品目号”、“采购标的”及“数量”）保持一致，“合同包”还应与《开标一览表》中列示的“合同包”保持一致，即：若《开标一览表》中列示的“合同包”为“1”时，本表中列示的“合同包”亦应为“1”，以此类推。</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1.2“投标标的”为货物的：</w:t>
      </w:r>
      <w:r>
        <w:rPr>
          <w:rStyle w:val="25"/>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项下应填写货物制造厂商赋予的品牌（属于节能、环保清单产品的货物，填写的品牌名称应与清单载明的品牌名称保持一致）及具体型号。</w:t>
      </w:r>
      <w:r>
        <w:rPr>
          <w:rStyle w:val="25"/>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应填写货物的原产地。</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1.3“投标标的”为服务的：</w:t>
      </w:r>
      <w:r>
        <w:rPr>
          <w:rStyle w:val="25"/>
          <w:rFonts w:hint="eastAsia" w:ascii="宋体" w:hAnsi="宋体" w:cs="宋体"/>
          <w:color w:val="auto"/>
          <w:sz w:val="21"/>
          <w:szCs w:val="21"/>
          <w:highlight w:val="none"/>
        </w:rPr>
        <w:t>“规格”</w:t>
      </w:r>
      <w:r>
        <w:rPr>
          <w:rFonts w:hint="eastAsia" w:ascii="宋体" w:hAnsi="宋体" w:cs="宋体"/>
          <w:color w:val="auto"/>
          <w:sz w:val="21"/>
          <w:szCs w:val="21"/>
          <w:highlight w:val="none"/>
        </w:rPr>
        <w:t>项下应填写服务提供者提供的服务标准及品牌（若有）。</w:t>
      </w:r>
      <w:r>
        <w:rPr>
          <w:rStyle w:val="25"/>
          <w:rFonts w:hint="eastAsia" w:ascii="宋体" w:hAnsi="宋体" w:cs="宋体"/>
          <w:color w:val="auto"/>
          <w:sz w:val="21"/>
          <w:szCs w:val="21"/>
          <w:highlight w:val="none"/>
        </w:rPr>
        <w:t>“来源地”</w:t>
      </w:r>
      <w:r>
        <w:rPr>
          <w:rFonts w:hint="eastAsia" w:ascii="宋体" w:hAnsi="宋体" w:cs="宋体"/>
          <w:color w:val="auto"/>
          <w:sz w:val="21"/>
          <w:szCs w:val="21"/>
          <w:highlight w:val="none"/>
        </w:rPr>
        <w:t>应填写服务提供者的所在地。</w:t>
      </w:r>
    </w:p>
    <w:p>
      <w:pPr>
        <w:pStyle w:val="18"/>
        <w:widowControl/>
        <w:spacing w:line="340" w:lineRule="exact"/>
        <w:rPr>
          <w:rFonts w:ascii="宋体" w:hAnsi="宋体" w:cs="宋体"/>
          <w:color w:val="auto"/>
          <w:highlight w:val="none"/>
        </w:rPr>
      </w:pPr>
      <w:r>
        <w:rPr>
          <w:rFonts w:hint="eastAsia" w:ascii="宋体" w:hAnsi="宋体" w:cs="宋体"/>
          <w:color w:val="auto"/>
          <w:sz w:val="21"/>
          <w:szCs w:val="21"/>
          <w:highlight w:val="none"/>
        </w:rPr>
        <w:t>1.4同一合同包中，</w:t>
      </w:r>
      <w:r>
        <w:rPr>
          <w:rStyle w:val="25"/>
          <w:rFonts w:hint="eastAsia" w:ascii="宋体" w:hAnsi="宋体" w:cs="宋体"/>
          <w:color w:val="auto"/>
          <w:sz w:val="21"/>
          <w:szCs w:val="21"/>
          <w:highlight w:val="none"/>
        </w:rPr>
        <w:t>“单价（现场）”</w:t>
      </w:r>
      <w:r>
        <w:rPr>
          <w:rFonts w:hint="eastAsia" w:ascii="宋体" w:hAnsi="宋体" w:cs="宋体"/>
          <w:color w:val="auto"/>
          <w:sz w:val="21"/>
          <w:szCs w:val="21"/>
          <w:highlight w:val="none"/>
        </w:rPr>
        <w:t>×</w:t>
      </w:r>
      <w:r>
        <w:rPr>
          <w:rStyle w:val="25"/>
          <w:rFonts w:hint="eastAsia" w:ascii="宋体" w:hAnsi="宋体" w:cs="宋体"/>
          <w:color w:val="auto"/>
          <w:sz w:val="21"/>
          <w:szCs w:val="21"/>
          <w:highlight w:val="none"/>
        </w:rPr>
        <w:t>“数量”</w:t>
      </w:r>
      <w:r>
        <w:rPr>
          <w:rFonts w:hint="eastAsia" w:ascii="宋体" w:hAnsi="宋体" w:cs="宋体"/>
          <w:color w:val="auto"/>
          <w:sz w:val="21"/>
          <w:szCs w:val="21"/>
          <w:highlight w:val="none"/>
        </w:rPr>
        <w:t>=</w:t>
      </w:r>
      <w:r>
        <w:rPr>
          <w:rStyle w:val="25"/>
          <w:rFonts w:hint="eastAsia" w:ascii="宋体" w:hAnsi="宋体" w:cs="宋体"/>
          <w:color w:val="auto"/>
          <w:sz w:val="21"/>
          <w:szCs w:val="21"/>
          <w:highlight w:val="none"/>
        </w:rPr>
        <w:t>“总价（现场）”</w:t>
      </w:r>
      <w:r>
        <w:rPr>
          <w:rFonts w:hint="eastAsia" w:ascii="宋体" w:hAnsi="宋体" w:cs="宋体"/>
          <w:color w:val="auto"/>
          <w:sz w:val="21"/>
          <w:szCs w:val="21"/>
          <w:highlight w:val="none"/>
        </w:rPr>
        <w:t>，全部品目号</w:t>
      </w:r>
      <w:r>
        <w:rPr>
          <w:rStyle w:val="25"/>
          <w:rFonts w:hint="eastAsia" w:ascii="宋体" w:hAnsi="宋体" w:cs="宋体"/>
          <w:color w:val="auto"/>
          <w:sz w:val="21"/>
          <w:szCs w:val="21"/>
          <w:highlight w:val="none"/>
        </w:rPr>
        <w:t>“总价（现场）”</w:t>
      </w:r>
      <w:r>
        <w:rPr>
          <w:rFonts w:hint="eastAsia" w:ascii="宋体" w:hAnsi="宋体" w:cs="宋体"/>
          <w:color w:val="auto"/>
          <w:sz w:val="21"/>
          <w:szCs w:val="21"/>
          <w:highlight w:val="none"/>
        </w:rPr>
        <w:t>的合计金额应与《开标一览表》中相应合同包列示的</w:t>
      </w:r>
      <w:r>
        <w:rPr>
          <w:rStyle w:val="25"/>
          <w:rFonts w:hint="eastAsia" w:ascii="宋体" w:hAnsi="宋体" w:cs="宋体"/>
          <w:color w:val="auto"/>
          <w:sz w:val="21"/>
          <w:szCs w:val="21"/>
          <w:highlight w:val="none"/>
        </w:rPr>
        <w:t>“投标总价”</w:t>
      </w:r>
      <w:r>
        <w:rPr>
          <w:rFonts w:hint="eastAsia" w:ascii="宋体" w:hAnsi="宋体" w:cs="宋体"/>
          <w:color w:val="auto"/>
          <w:sz w:val="21"/>
          <w:szCs w:val="21"/>
          <w:highlight w:val="none"/>
        </w:rPr>
        <w:t>保持一致。</w:t>
      </w:r>
    </w:p>
    <w:p>
      <w:pPr>
        <w:pStyle w:val="18"/>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1.5若招标文件要求投标人对“备品备件价格、专用工具价格、技术服务费、安装调试费、检验培训费、运输费、保险费、税收”等进行报价的，请在本表的</w:t>
      </w:r>
      <w:r>
        <w:rPr>
          <w:rStyle w:val="25"/>
          <w:rFonts w:hint="eastAsia" w:ascii="宋体" w:hAnsi="宋体" w:cs="宋体"/>
          <w:color w:val="auto"/>
          <w:sz w:val="21"/>
          <w:szCs w:val="21"/>
          <w:highlight w:val="none"/>
        </w:rPr>
        <w:t>“备注”</w:t>
      </w:r>
      <w:r>
        <w:rPr>
          <w:rFonts w:hint="eastAsia" w:ascii="宋体" w:hAnsi="宋体" w:cs="宋体"/>
          <w:color w:val="auto"/>
          <w:sz w:val="21"/>
          <w:szCs w:val="21"/>
          <w:highlight w:val="none"/>
        </w:rPr>
        <w:t>项下填写。</w:t>
      </w:r>
    </w:p>
    <w:p>
      <w:pPr>
        <w:pStyle w:val="18"/>
        <w:widowControl/>
        <w:spacing w:line="340" w:lineRule="exact"/>
        <w:rPr>
          <w:rFonts w:ascii="宋体" w:hAnsi="宋体" w:cs="宋体"/>
          <w:color w:val="auto"/>
          <w:sz w:val="21"/>
          <w:szCs w:val="21"/>
          <w:highlight w:val="none"/>
        </w:rPr>
      </w:pPr>
      <w:r>
        <w:rPr>
          <w:rFonts w:hint="eastAsia" w:ascii="宋体" w:hAnsi="宋体" w:cs="宋体"/>
          <w:color w:val="auto"/>
          <w:sz w:val="21"/>
          <w:szCs w:val="21"/>
          <w:highlight w:val="none"/>
        </w:rPr>
        <w:t>2、纸质投标文件正本中的本表应为原件。</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Cs w:val="21"/>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三、招标文件规定的价格扣除证明材料（若有）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三-1优先类节能产品、环境标志产品价格扣除证明材料（若有）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三-1-①优先类节能产品、环境标志产品统计表（价格扣除适用，若有）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1、对节能、环境标志产品计算价格扣除时，只依据投标文件</w:t>
      </w:r>
      <w:r>
        <w:rPr>
          <w:rFonts w:hint="eastAsia" w:ascii="宋体" w:hAnsi="宋体" w:cs="宋体"/>
          <w:b/>
          <w:bCs/>
          <w:color w:val="auto"/>
          <w:kern w:val="0"/>
          <w:szCs w:val="21"/>
          <w:highlight w:val="none"/>
        </w:rPr>
        <w:t>“三-1-②优先类节能产品、环境标志产品证明材料（价格扣除适用，若有）”。</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3.1若节能、环境标志产品仅是构成投标产品的部件、组件或零件，则该投标产品不享受鼓励优惠政策。同一品目中各认证证书不重复计算价格扣除。强制类节能产品不享受价格扣除。</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0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三-1-②优先类节能产品、环境标志产品证明材料（价格扣除适用，若有）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三-2小型、微型企业产品等价格扣除证明材料（若有）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 w:val="24"/>
          <w:highlight w:val="none"/>
        </w:rPr>
        <w:t>三-2-①中小企业声明函（价格扣除适用，若有）</w:t>
      </w:r>
    </w:p>
    <w:p>
      <w:pPr>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中小企业声明函（货物）</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行业；制造商为（企业名称），从业人员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2. </w:t>
      </w:r>
      <w:r>
        <w:rPr>
          <w:rFonts w:hint="eastAsia" w:ascii="宋体" w:hAnsi="宋体" w:cs="宋体"/>
          <w:color w:val="auto"/>
          <w:kern w:val="0"/>
          <w:szCs w:val="21"/>
          <w:highlight w:val="none"/>
          <w:u w:val="single"/>
        </w:rPr>
        <w:t> （标的名称） </w:t>
      </w:r>
      <w:r>
        <w:rPr>
          <w:rFonts w:hint="eastAsia" w:ascii="宋体" w:hAnsi="宋体" w:cs="宋体"/>
          <w:color w:val="auto"/>
          <w:kern w:val="0"/>
          <w:sz w:val="24"/>
          <w:highlight w:val="none"/>
        </w:rPr>
        <w:t>， 属于</w:t>
      </w:r>
      <w:r>
        <w:rPr>
          <w:rFonts w:hint="eastAsia" w:ascii="宋体" w:hAnsi="宋体" w:cs="宋体"/>
          <w:color w:val="auto"/>
          <w:kern w:val="0"/>
          <w:szCs w:val="21"/>
          <w:highlight w:val="none"/>
          <w:u w:val="single"/>
        </w:rPr>
        <w:t> （采购文件中明确的所属行业 ）</w:t>
      </w:r>
      <w:r>
        <w:rPr>
          <w:rFonts w:hint="eastAsia" w:ascii="宋体" w:hAnsi="宋体" w:cs="宋体"/>
          <w:color w:val="auto"/>
          <w:kern w:val="0"/>
          <w:sz w:val="24"/>
          <w:highlight w:val="none"/>
        </w:rPr>
        <w:t>行业；制造商为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r>
        <w:rPr>
          <w:rFonts w:hint="eastAsia" w:ascii="宋体" w:hAnsi="宋体" w:cs="宋体"/>
          <w:color w:val="auto"/>
          <w:kern w:val="0"/>
          <w:szCs w:val="21"/>
          <w:highlight w:val="none"/>
        </w:rPr>
        <w:t>日期：</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ageBreakBefore/>
        <w:widowControl/>
        <w:spacing w:before="150" w:after="150"/>
        <w:jc w:val="center"/>
        <w:outlineLvl w:val="5"/>
        <w:rPr>
          <w:rFonts w:ascii="宋体" w:hAnsi="宋体" w:cs="宋体"/>
          <w:b/>
          <w:bCs/>
          <w:color w:val="auto"/>
          <w:kern w:val="0"/>
          <w:sz w:val="15"/>
          <w:szCs w:val="15"/>
          <w:highlight w:val="none"/>
        </w:rPr>
      </w:pPr>
      <w:r>
        <w:rPr>
          <w:rFonts w:hint="eastAsia" w:ascii="宋体" w:hAnsi="宋体" w:cs="宋体"/>
          <w:b/>
          <w:bCs/>
          <w:color w:val="auto"/>
          <w:kern w:val="0"/>
          <w:sz w:val="24"/>
          <w:highlight w:val="none"/>
        </w:rPr>
        <w:t>中小企业声明函（工程、服务</w:t>
      </w:r>
      <w:r>
        <w:rPr>
          <w:rFonts w:hint="eastAsia" w:ascii="宋体" w:hAnsi="宋体" w:cs="宋体"/>
          <w:b/>
          <w:bCs/>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    本公司（联合体）郑重声明，根据《政府采购促进中小企业发展管理办法》（财库﹝2020﹞46 号）的规定，本公司（联合体）参加</w:t>
      </w:r>
      <w:r>
        <w:rPr>
          <w:rFonts w:hint="eastAsia" w:ascii="宋体" w:hAnsi="宋体" w:cs="宋体"/>
          <w:color w:val="auto"/>
          <w:kern w:val="0"/>
          <w:szCs w:val="21"/>
          <w:highlight w:val="none"/>
          <w:u w:val="single"/>
        </w:rPr>
        <w:t>（单位名称）</w:t>
      </w:r>
      <w:r>
        <w:rPr>
          <w:rFonts w:hint="eastAsia" w:ascii="宋体" w:hAnsi="宋体" w:cs="宋体"/>
          <w:color w:val="auto"/>
          <w:kern w:val="0"/>
          <w:sz w:val="24"/>
          <w:highlight w:val="none"/>
        </w:rPr>
        <w:t>的</w:t>
      </w:r>
      <w:r>
        <w:rPr>
          <w:rFonts w:hint="eastAsia" w:ascii="宋体" w:hAnsi="宋体" w:cs="宋体"/>
          <w:color w:val="auto"/>
          <w:kern w:val="0"/>
          <w:szCs w:val="21"/>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w:t>
      </w:r>
      <w:r>
        <w:rPr>
          <w:rFonts w:hint="eastAsia" w:ascii="宋体" w:hAnsi="宋体" w:cs="宋体"/>
          <w:color w:val="auto"/>
          <w:kern w:val="0"/>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2.</w:t>
      </w:r>
      <w:r>
        <w:rPr>
          <w:rFonts w:hint="eastAsia" w:ascii="宋体" w:hAnsi="宋体" w:cs="宋体"/>
          <w:color w:val="auto"/>
          <w:kern w:val="0"/>
          <w:szCs w:val="21"/>
          <w:highlight w:val="none"/>
          <w:u w:val="single"/>
        </w:rPr>
        <w:t> （标的名称）</w:t>
      </w:r>
      <w:r>
        <w:rPr>
          <w:rFonts w:hint="eastAsia" w:ascii="宋体" w:hAnsi="宋体" w:cs="宋体"/>
          <w:color w:val="auto"/>
          <w:kern w:val="0"/>
          <w:sz w:val="24"/>
          <w:highlight w:val="none"/>
        </w:rPr>
        <w:t>，属于</w:t>
      </w:r>
      <w:r>
        <w:rPr>
          <w:rFonts w:hint="eastAsia" w:ascii="宋体" w:hAnsi="宋体" w:cs="宋体"/>
          <w:color w:val="auto"/>
          <w:kern w:val="0"/>
          <w:szCs w:val="21"/>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color w:val="auto"/>
          <w:kern w:val="0"/>
          <w:szCs w:val="21"/>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人，营业收入为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万元，资产总额为</w:t>
      </w:r>
      <w:r>
        <w:rPr>
          <w:rFonts w:hint="eastAsia" w:ascii="宋体" w:hAnsi="宋体" w:cs="宋体"/>
          <w:color w:val="auto"/>
          <w:kern w:val="0"/>
          <w:szCs w:val="21"/>
          <w:highlight w:val="none"/>
          <w:u w:val="single"/>
        </w:rPr>
        <w:t>  </w:t>
      </w:r>
      <w:r>
        <w:rPr>
          <w:rFonts w:hint="eastAsia" w:ascii="宋体" w:hAnsi="宋体" w:cs="宋体"/>
          <w:color w:val="auto"/>
          <w:kern w:val="0"/>
          <w:sz w:val="24"/>
          <w:highlight w:val="none"/>
        </w:rPr>
        <w:t>万元，属于</w:t>
      </w:r>
      <w:r>
        <w:rPr>
          <w:rFonts w:hint="eastAsia" w:ascii="宋体" w:hAnsi="宋体" w:cs="宋体"/>
          <w:color w:val="auto"/>
          <w:kern w:val="0"/>
          <w:szCs w:val="21"/>
          <w:highlight w:val="none"/>
          <w:u w:val="single"/>
        </w:rPr>
        <w:t>（中型企业、小型企业、微型企业）</w:t>
      </w: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以上企业，不属于大企业的分支机构，不存在控股股东为大企业的情形，也不存在与大企业的负责人为同一人的情形。</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本企业对上述声明内容的真实性负责。如有虚假，将依法承担相应责任。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企业名称（盖章）：     </w:t>
      </w:r>
    </w:p>
    <w:p>
      <w:pPr>
        <w:widowControl/>
        <w:spacing w:before="75" w:after="75"/>
        <w:jc w:val="center"/>
        <w:rPr>
          <w:rFonts w:ascii="宋体" w:hAnsi="宋体" w:cs="宋体"/>
          <w:color w:val="auto"/>
          <w:kern w:val="0"/>
          <w:sz w:val="24"/>
          <w:highlight w:val="none"/>
        </w:rPr>
      </w:pPr>
      <w:r>
        <w:rPr>
          <w:rFonts w:hint="eastAsia" w:ascii="宋体" w:hAnsi="宋体" w:cs="宋体"/>
          <w:color w:val="auto"/>
          <w:kern w:val="0"/>
          <w:sz w:val="24"/>
          <w:highlight w:val="none"/>
        </w:rPr>
        <w:t>日期：</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1、从业人员、营业收入、资产总额填报上一年度数据，无上一年度数据的新成立企业可不填报。</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2、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widowControl/>
        <w:spacing w:before="75" w:after="75"/>
        <w:ind w:firstLine="420"/>
        <w:jc w:val="left"/>
        <w:rPr>
          <w:rFonts w:ascii="宋体" w:hAnsi="宋体" w:cs="宋体"/>
          <w:color w:val="auto"/>
          <w:kern w:val="0"/>
          <w:sz w:val="24"/>
          <w:highlight w:val="none"/>
        </w:rPr>
      </w:pPr>
      <w:r>
        <w:rPr>
          <w:rFonts w:hint="eastAsia" w:ascii="宋体" w:hAnsi="宋体" w:cs="宋体"/>
          <w:b/>
          <w:bCs/>
          <w:color w:val="auto"/>
          <w:kern w:val="0"/>
          <w:szCs w:val="21"/>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三-2-</w:t>
      </w:r>
      <w:r>
        <w:rPr>
          <w:rFonts w:hint="eastAsia" w:ascii="宋体" w:hAnsi="宋体" w:cs="宋体"/>
          <w:b/>
          <w:bCs/>
          <w:color w:val="auto"/>
          <w:kern w:val="0"/>
          <w:sz w:val="24"/>
          <w:highlight w:val="none"/>
        </w:rPr>
        <w:t>②</w:t>
      </w:r>
      <w:r>
        <w:rPr>
          <w:rFonts w:hint="eastAsia" w:ascii="宋体" w:hAnsi="宋体" w:cs="宋体"/>
          <w:b/>
          <w:bCs/>
          <w:color w:val="auto"/>
          <w:kern w:val="0"/>
          <w:szCs w:val="21"/>
          <w:highlight w:val="none"/>
        </w:rPr>
        <w:t>小型、微型企业等证明材料（价格扣除适用，若有）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1、投标人应按照招标文件要求提供相应证明材料，证明材料应与《中小企业声明函》的内容相一致，否则视为《中小企业声明函》内容不真实。</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2、投标人为监狱企业的，根据其提供的由省级以上监狱管理局、戒毒管理局（含新疆生产建设兵团）出具的属于监狱企业的证明文件进行认定，监狱企业视同小型、微型企业。</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3、投标人为残疾人福利性单位的，根据其提供的《残疾人福利性单位声明函》（格式附后）进行认定，残疾人福利性单位视同小型、微型企业。残疾人福利性单位属于小型、微型企业的，不重复享受政策。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Cs w:val="21"/>
          <w:highlight w:val="none"/>
        </w:rPr>
      </w:pPr>
      <w:r>
        <w:rPr>
          <w:rFonts w:hint="eastAsia" w:ascii="宋体" w:hAnsi="宋体" w:cs="宋体"/>
          <w:color w:val="auto"/>
          <w:kern w:val="0"/>
          <w:szCs w:val="21"/>
          <w:highlight w:val="none"/>
        </w:rPr>
        <w:t> </w:t>
      </w:r>
    </w:p>
    <w:p>
      <w:pPr>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pStyle w:val="20"/>
        <w:ind w:left="420" w:firstLine="480"/>
        <w:rPr>
          <w:rFonts w:ascii="宋体" w:hAnsi="宋体" w:cs="宋体"/>
          <w:color w:val="auto"/>
          <w:highlight w:val="none"/>
        </w:rPr>
      </w:pP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附：</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残疾人福利性单位声明函（价格扣除适用，若有）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w:t>
      </w:r>
      <w:r>
        <w:rPr>
          <w:rFonts w:hint="eastAsia" w:ascii="宋体" w:hAnsi="宋体" w:cs="宋体"/>
          <w:color w:val="auto"/>
          <w:kern w:val="0"/>
          <w:szCs w:val="21"/>
          <w:highlight w:val="none"/>
          <w:u w:val="single"/>
        </w:rPr>
        <w:t>（填写“项目名称”）</w:t>
      </w:r>
      <w:r>
        <w:rPr>
          <w:rFonts w:hint="eastAsia" w:ascii="宋体" w:hAnsi="宋体" w:cs="宋体"/>
          <w:color w:val="auto"/>
          <w:kern w:val="0"/>
          <w:szCs w:val="21"/>
          <w:highlight w:val="none"/>
        </w:rPr>
        <w:t>项目采购活动：</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）提供本投标人制造的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货物，或提供其他残疾人福利性单位制造的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货物（不包括使用非残疾人福利性单位注册商标的货物）。（说明：只有部分货物由残疾人福利企业制造的，在该货物后标</w:t>
      </w:r>
      <w:r>
        <w:rPr>
          <w:rFonts w:hint="eastAsia" w:ascii="宋体" w:hAnsi="宋体" w:cs="宋体"/>
          <w:color w:val="auto"/>
          <w:kern w:val="0"/>
          <w:sz w:val="24"/>
          <w:highlight w:val="none"/>
        </w:rPr>
        <w:t>★</w:t>
      </w:r>
      <w:r>
        <w:rPr>
          <w:rFonts w:hint="eastAsia" w:ascii="宋体" w:hAnsi="宋体" w:cs="宋体"/>
          <w:color w:val="auto"/>
          <w:kern w:val="0"/>
          <w:szCs w:val="21"/>
          <w:highlight w:val="none"/>
        </w:rPr>
        <w:t>）</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）由本投标人承建的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工程</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）由本投标人承接的</w:t>
      </w:r>
      <w:r>
        <w:rPr>
          <w:rFonts w:hint="eastAsia" w:ascii="宋体" w:hAnsi="宋体" w:cs="宋体"/>
          <w:color w:val="auto"/>
          <w:kern w:val="0"/>
          <w:szCs w:val="21"/>
          <w:highlight w:val="none"/>
          <w:u w:val="single"/>
        </w:rPr>
        <w:t>（填写“所投采购包、品目号”）</w:t>
      </w:r>
      <w:r>
        <w:rPr>
          <w:rFonts w:hint="eastAsia" w:ascii="宋体" w:hAnsi="宋体" w:cs="宋体"/>
          <w:color w:val="auto"/>
          <w:kern w:val="0"/>
          <w:szCs w:val="21"/>
          <w:highlight w:val="none"/>
        </w:rPr>
        <w:t>服务；</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本投标人对上述声明的真实性负责。如有虚假，将依法承担相应责任。</w:t>
      </w:r>
    </w:p>
    <w:p>
      <w:pPr>
        <w:widowControl/>
        <w:spacing w:before="75" w:after="75"/>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备注：</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1、请投标人按照实际情况编制填写本声明函，并在相应的（）中打“√”。</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2、若《残疾人福利性单位声明函》内容不真实，</w:t>
      </w:r>
      <w:r>
        <w:rPr>
          <w:rFonts w:hint="eastAsia" w:ascii="宋体" w:hAnsi="宋体" w:cs="宋体"/>
          <w:b/>
          <w:bCs/>
          <w:color w:val="auto"/>
          <w:kern w:val="0"/>
          <w:szCs w:val="21"/>
          <w:highlight w:val="none"/>
        </w:rPr>
        <w:t>视为提供虚假材料。</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widowControl/>
        <w:ind w:firstLine="420"/>
        <w:jc w:val="left"/>
        <w:rPr>
          <w:rFonts w:ascii="宋体" w:hAnsi="宋体" w:cs="宋体"/>
          <w:color w:val="auto"/>
          <w:kern w:val="0"/>
          <w:sz w:val="24"/>
          <w:highlight w:val="none"/>
        </w:rPr>
      </w:pPr>
    </w:p>
    <w:p>
      <w:pPr>
        <w:widowControl/>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附：</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监狱企业证明材料</w:t>
      </w:r>
    </w:p>
    <w:p>
      <w:pPr>
        <w:widowControl/>
        <w:spacing w:before="75" w:after="75"/>
        <w:jc w:val="center"/>
        <w:rPr>
          <w:rFonts w:ascii="宋体" w:hAnsi="宋体" w:cs="宋体"/>
          <w:color w:val="auto"/>
          <w:kern w:val="0"/>
          <w:sz w:val="24"/>
          <w:highlight w:val="none"/>
        </w:rPr>
      </w:pPr>
      <w:r>
        <w:rPr>
          <w:rFonts w:hint="eastAsia" w:ascii="宋体" w:hAnsi="宋体" w:cs="宋体"/>
          <w:b/>
          <w:bCs/>
          <w:color w:val="auto"/>
          <w:kern w:val="0"/>
          <w:sz w:val="24"/>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  投标人为监狱企业，提供本单位制造的货物（承接的服务），并在投标文件中提供省级以上监狱管理局、戒毒管理局（含新疆生产建设兵团）出具的属于监狱企业的证明文件。</w:t>
      </w:r>
    </w:p>
    <w:p>
      <w:pPr>
        <w:widowControl/>
        <w:spacing w:before="75" w:after="240"/>
        <w:jc w:val="left"/>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spacing w:before="100" w:beforeAutospacing="1" w:after="100" w:afterAutospacing="1"/>
        <w:jc w:val="center"/>
        <w:rPr>
          <w:rFonts w:ascii="宋体" w:hAnsi="宋体" w:cs="宋体"/>
          <w:color w:val="auto"/>
          <w:kern w:val="0"/>
          <w:szCs w:val="21"/>
          <w:highlight w:val="none"/>
        </w:rPr>
      </w:pPr>
      <w:r>
        <w:rPr>
          <w:rFonts w:hint="eastAsia" w:ascii="宋体" w:hAnsi="宋体" w:cs="宋体"/>
          <w:color w:val="auto"/>
          <w:kern w:val="0"/>
          <w:szCs w:val="21"/>
          <w:highlight w:val="none"/>
        </w:rPr>
        <w:br w:type="textWrapping"/>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三-3招标文件规定的其他价格扣除证明材料（若有）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“节能（非强制类）、环境标志产品价格扣除”及“小型、微型企业产品等价格扣除”</w:t>
      </w:r>
      <w:r>
        <w:rPr>
          <w:rFonts w:hint="eastAsia" w:ascii="宋体" w:hAnsi="宋体" w:cs="宋体"/>
          <w:color w:val="auto"/>
          <w:kern w:val="0"/>
          <w:szCs w:val="21"/>
          <w:highlight w:val="none"/>
        </w:rPr>
        <w:t>外的其他价格扣除优惠，则投标人应按照招标文件要求提供相应证明材料。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240"/>
        <w:jc w:val="left"/>
        <w:rPr>
          <w:rFonts w:ascii="宋体" w:hAnsi="宋体" w:cs="宋体"/>
          <w:color w:val="auto"/>
          <w:kern w:val="0"/>
          <w:sz w:val="24"/>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br w:type="textWrapping"/>
      </w:r>
    </w:p>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b/>
          <w:bCs/>
          <w:color w:val="auto"/>
          <w:kern w:val="0"/>
          <w:szCs w:val="21"/>
          <w:highlight w:val="none"/>
        </w:rPr>
        <w:t>四、招标文件规定的加分证明材料（若有）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四-1优先类节能产品、环境标志产品加分证明材料（若有）</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四-1-①优先类节能产品、环境标志产品统计表（加分适用，若有）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项目编号：</w:t>
      </w:r>
      <w:r>
        <w:rPr>
          <w:rFonts w:hint="eastAsia" w:ascii="宋体" w:hAnsi="宋体" w:cs="宋体"/>
          <w:color w:val="auto"/>
          <w:kern w:val="0"/>
          <w:szCs w:val="21"/>
          <w:highlight w:val="none"/>
          <w:u w:val="single"/>
        </w:rPr>
        <w:t>                   </w:t>
      </w:r>
    </w:p>
    <w:p>
      <w:pPr>
        <w:widowControl/>
        <w:spacing w:before="100" w:beforeAutospacing="1" w:after="100" w:afterAutospacing="1"/>
        <w:jc w:val="right"/>
        <w:rPr>
          <w:rFonts w:ascii="宋体" w:hAnsi="宋体" w:cs="宋体"/>
          <w:color w:val="auto"/>
          <w:kern w:val="0"/>
          <w:sz w:val="24"/>
          <w:highlight w:val="none"/>
        </w:rPr>
      </w:pPr>
      <w:r>
        <w:rPr>
          <w:rFonts w:hint="eastAsia" w:ascii="宋体" w:hAnsi="宋体" w:cs="宋体"/>
          <w:color w:val="auto"/>
          <w:kern w:val="0"/>
          <w:szCs w:val="21"/>
          <w:highlight w:val="none"/>
        </w:rPr>
        <w:t>货币及单位：人民币元</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219"/>
        <w:gridCol w:w="1215"/>
        <w:gridCol w:w="1209"/>
        <w:gridCol w:w="1221"/>
        <w:gridCol w:w="1209"/>
        <w:gridCol w:w="1222"/>
        <w:gridCol w:w="12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7256" w:type="dxa"/>
            <w:gridSpan w:val="6"/>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货物名称</w:t>
            </w:r>
          </w:p>
        </w:tc>
        <w:tc>
          <w:tcPr>
            <w:tcW w:w="1191"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单价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7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92"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总价</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（现场）</w:t>
            </w:r>
          </w:p>
        </w:tc>
        <w:tc>
          <w:tcPr>
            <w:tcW w:w="1180"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认证种类</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1185"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1"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7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92"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180"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174"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c>
          <w:tcPr>
            <w:tcW w:w="7256" w:type="dxa"/>
            <w:gridSpan w:val="6"/>
            <w:tcBorders>
              <w:top w:val="nil"/>
              <w:left w:val="nil"/>
              <w:bottom w:val="outset" w:color="auto" w:sz="6" w:space="0"/>
              <w:right w:val="outset" w:color="auto" w:sz="6" w:space="0"/>
            </w:tcBorders>
            <w:tcMar>
              <w:top w:w="0" w:type="dxa"/>
              <w:left w:w="105" w:type="dxa"/>
              <w:bottom w:w="0" w:type="dxa"/>
              <w:right w:w="105" w:type="dxa"/>
            </w:tcMar>
          </w:tcPr>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a.采购包内属于节能、环境标志产品的报价总金额：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b.采购包投标总价（报价总金额）：</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c.“采购包内属于节能、环境标志产品的报价总金额”占“采购包投标总价（报价总金额）”的比例（以%列示）：</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w:t>
            </w:r>
          </w:p>
        </w:tc>
      </w:tr>
    </w:tbl>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1、对节能、环境标志产品计算加分时，只依据投标文件</w:t>
      </w:r>
      <w:r>
        <w:rPr>
          <w:rFonts w:hint="eastAsia" w:ascii="宋体" w:hAnsi="宋体" w:cs="宋体"/>
          <w:b/>
          <w:bCs/>
          <w:color w:val="auto"/>
          <w:kern w:val="0"/>
          <w:szCs w:val="21"/>
          <w:highlight w:val="none"/>
        </w:rPr>
        <w:t>“四-1-②优先类节能产品、环境标志产品加分证明材料（加分适用，若有）”。</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2、本表以采购包为单位，不同采购包请分别填写；同一采购包请按照其品目号顺序分别填写。</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3、具体统计、计算：</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3.1 若节能、环境标志产品仅是构成投标产品的部件、组件或零件，则该投标产品不享受鼓励优惠政策。同一品目中各认证证书不重复计算加分。强制类节能产品不享受加分。</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3.2计算结果若除不尽，可四舍五入保留到小数点后两位。</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3.3投标人应按照招标文件要求认真统计、计算，否则评标委员会不予认定。</w:t>
      </w:r>
    </w:p>
    <w:p>
      <w:pPr>
        <w:widowControl/>
        <w:spacing w:line="440" w:lineRule="exact"/>
        <w:jc w:val="left"/>
        <w:rPr>
          <w:rFonts w:ascii="宋体" w:hAnsi="宋体" w:cs="宋体"/>
          <w:color w:val="auto"/>
          <w:kern w:val="0"/>
          <w:sz w:val="24"/>
          <w:highlight w:val="none"/>
        </w:rPr>
      </w:pPr>
      <w:r>
        <w:rPr>
          <w:rFonts w:hint="eastAsia" w:ascii="宋体" w:hAnsi="宋体" w:cs="宋体"/>
          <w:color w:val="auto"/>
          <w:kern w:val="0"/>
          <w:szCs w:val="21"/>
          <w:highlight w:val="none"/>
        </w:rPr>
        <w:t>3.4若无节能、环境标志产品，不填写本表，否则，</w:t>
      </w:r>
      <w:r>
        <w:rPr>
          <w:rFonts w:hint="eastAsia" w:ascii="宋体" w:hAnsi="宋体" w:cs="宋体"/>
          <w:b/>
          <w:bCs/>
          <w:color w:val="auto"/>
          <w:kern w:val="0"/>
          <w:szCs w:val="21"/>
          <w:highlight w:val="none"/>
        </w:rPr>
        <w:t>视为提供虚假材料</w:t>
      </w:r>
      <w:r>
        <w:rPr>
          <w:rFonts w:hint="eastAsia" w:ascii="宋体" w:hAnsi="宋体" w:cs="宋体"/>
          <w:color w:val="auto"/>
          <w:kern w:val="0"/>
          <w:szCs w:val="21"/>
          <w:highlight w:val="none"/>
        </w:rPr>
        <w:t>。</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rPr>
          <w:rFonts w:ascii="宋体" w:hAnsi="宋体" w:cs="宋体"/>
          <w:b/>
          <w:bCs/>
          <w:color w:val="auto"/>
          <w:kern w:val="0"/>
          <w:szCs w:val="21"/>
          <w:highlight w:val="none"/>
        </w:rPr>
      </w:pPr>
    </w:p>
    <w:p>
      <w:pPr>
        <w:pStyle w:val="20"/>
        <w:ind w:left="420" w:firstLine="480"/>
        <w:rPr>
          <w:rFonts w:ascii="宋体" w:hAnsi="宋体" w:cs="宋体"/>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br w:type="textWrapping"/>
      </w:r>
      <w:r>
        <w:rPr>
          <w:rFonts w:hint="eastAsia" w:ascii="宋体" w:hAnsi="宋体" w:cs="宋体"/>
          <w:b/>
          <w:bCs/>
          <w:color w:val="auto"/>
          <w:kern w:val="0"/>
          <w:szCs w:val="21"/>
          <w:highlight w:val="none"/>
        </w:rPr>
        <w:t>四-1-②优先类节能产品、环境标志产品证明材料（加分适用，若有）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b/>
          <w:bCs/>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四</w:t>
      </w:r>
      <w:r>
        <w:rPr>
          <w:rFonts w:hint="eastAsia" w:ascii="宋体" w:hAnsi="宋体" w:cs="宋体"/>
          <w:b/>
          <w:bCs/>
          <w:color w:val="auto"/>
          <w:kern w:val="0"/>
          <w:szCs w:val="21"/>
          <w:highlight w:val="none"/>
        </w:rPr>
        <w:t>-2招标文件规定的其他加分证明材料（若有）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ind w:firstLine="420"/>
        <w:jc w:val="left"/>
        <w:rPr>
          <w:rFonts w:ascii="宋体" w:hAnsi="宋体" w:cs="宋体"/>
          <w:color w:val="auto"/>
          <w:kern w:val="0"/>
          <w:sz w:val="24"/>
          <w:highlight w:val="none"/>
        </w:rPr>
      </w:pPr>
      <w:r>
        <w:rPr>
          <w:rFonts w:hint="eastAsia" w:ascii="宋体" w:hAnsi="宋体" w:cs="宋体"/>
          <w:color w:val="auto"/>
          <w:kern w:val="0"/>
          <w:szCs w:val="21"/>
          <w:highlight w:val="none"/>
        </w:rPr>
        <w:t>若投标人可享受招标文件规定的除</w:t>
      </w:r>
      <w:r>
        <w:rPr>
          <w:rFonts w:hint="eastAsia" w:ascii="宋体" w:hAnsi="宋体" w:cs="宋体"/>
          <w:b/>
          <w:bCs/>
          <w:color w:val="auto"/>
          <w:kern w:val="0"/>
          <w:szCs w:val="21"/>
          <w:highlight w:val="none"/>
        </w:rPr>
        <w:t>“优先类节能产品、环境标志产品加分”</w:t>
      </w:r>
      <w:r>
        <w:rPr>
          <w:rFonts w:hint="eastAsia" w:ascii="宋体" w:hAnsi="宋体" w:cs="宋体"/>
          <w:color w:val="auto"/>
          <w:kern w:val="0"/>
          <w:szCs w:val="21"/>
          <w:highlight w:val="none"/>
        </w:rPr>
        <w:t>外的其他加分优惠，则投标人应按照招标文件要求提供相应证明材料。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pStyle w:val="18"/>
        <w:widowControl/>
        <w:rPr>
          <w:rFonts w:ascii="宋体" w:hAnsi="宋体" w:cs="宋体"/>
          <w:color w:val="auto"/>
          <w:sz w:val="21"/>
          <w:szCs w:val="21"/>
          <w:highlight w:val="none"/>
        </w:rPr>
      </w:pP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jc w:val="center"/>
        <w:rPr>
          <w:rFonts w:ascii="宋体" w:hAnsi="宋体" w:cs="宋体"/>
          <w:color w:val="auto"/>
          <w:highlight w:val="none"/>
        </w:rPr>
      </w:pPr>
      <w:r>
        <w:rPr>
          <w:rStyle w:val="25"/>
          <w:rFonts w:hint="eastAsia" w:ascii="宋体" w:hAnsi="宋体" w:cs="宋体"/>
          <w:color w:val="auto"/>
          <w:sz w:val="28"/>
          <w:szCs w:val="28"/>
          <w:highlight w:val="none"/>
        </w:rPr>
        <w:t>封面格式</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jc w:val="center"/>
        <w:rPr>
          <w:rFonts w:ascii="宋体" w:hAnsi="宋体" w:cs="宋体"/>
          <w:color w:val="auto"/>
          <w:highlight w:val="none"/>
        </w:rPr>
      </w:pPr>
      <w:r>
        <w:rPr>
          <w:rStyle w:val="25"/>
          <w:rFonts w:hint="eastAsia" w:ascii="宋体" w:hAnsi="宋体" w:cs="宋体"/>
          <w:color w:val="auto"/>
          <w:sz w:val="48"/>
          <w:szCs w:val="48"/>
          <w:highlight w:val="none"/>
        </w:rPr>
        <w:t>福建省政府采购投标文件</w:t>
      </w:r>
    </w:p>
    <w:p>
      <w:pPr>
        <w:pStyle w:val="18"/>
        <w:widowControl/>
        <w:jc w:val="center"/>
        <w:rPr>
          <w:rFonts w:ascii="宋体" w:hAnsi="宋体" w:cs="宋体"/>
          <w:color w:val="auto"/>
          <w:highlight w:val="none"/>
        </w:rPr>
      </w:pPr>
      <w:r>
        <w:rPr>
          <w:rStyle w:val="25"/>
          <w:rFonts w:hint="eastAsia" w:ascii="宋体" w:hAnsi="宋体" w:cs="宋体"/>
          <w:color w:val="auto"/>
          <w:sz w:val="48"/>
          <w:szCs w:val="48"/>
          <w:highlight w:val="none"/>
        </w:rPr>
        <w:t>（技术商务部分）</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jc w:val="center"/>
        <w:rPr>
          <w:rFonts w:ascii="宋体" w:hAnsi="宋体" w:cs="宋体"/>
          <w:color w:val="auto"/>
          <w:highlight w:val="none"/>
        </w:rPr>
      </w:pPr>
      <w:r>
        <w:rPr>
          <w:rStyle w:val="25"/>
          <w:rFonts w:hint="eastAsia" w:ascii="宋体" w:hAnsi="宋体" w:cs="宋体"/>
          <w:color w:val="auto"/>
          <w:sz w:val="36"/>
          <w:szCs w:val="36"/>
          <w:highlight w:val="none"/>
          <w:u w:val="single"/>
        </w:rPr>
        <w:t>（填写正本或副本）</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ind w:firstLine="1920"/>
        <w:rPr>
          <w:rFonts w:ascii="宋体" w:hAnsi="宋体" w:cs="宋体"/>
          <w:color w:val="auto"/>
          <w:highlight w:val="none"/>
        </w:rPr>
      </w:pPr>
      <w:r>
        <w:rPr>
          <w:rStyle w:val="25"/>
          <w:rFonts w:hint="eastAsia" w:ascii="宋体" w:hAnsi="宋体" w:cs="宋体"/>
          <w:color w:val="auto"/>
          <w:sz w:val="31"/>
          <w:szCs w:val="31"/>
          <w:highlight w:val="none"/>
        </w:rPr>
        <w:t>项目名称：</w:t>
      </w:r>
      <w:r>
        <w:rPr>
          <w:rStyle w:val="25"/>
          <w:rFonts w:hint="eastAsia" w:ascii="宋体" w:hAnsi="宋体" w:cs="宋体"/>
          <w:color w:val="auto"/>
          <w:sz w:val="31"/>
          <w:szCs w:val="31"/>
          <w:highlight w:val="none"/>
          <w:u w:val="single"/>
        </w:rPr>
        <w:t>（由投标人填写）</w:t>
      </w:r>
    </w:p>
    <w:p>
      <w:pPr>
        <w:pStyle w:val="18"/>
        <w:widowControl/>
        <w:ind w:firstLine="1920"/>
        <w:rPr>
          <w:rFonts w:ascii="宋体" w:hAnsi="宋体" w:cs="宋体"/>
          <w:color w:val="auto"/>
          <w:highlight w:val="none"/>
        </w:rPr>
      </w:pPr>
      <w:r>
        <w:rPr>
          <w:rStyle w:val="25"/>
          <w:rFonts w:hint="eastAsia" w:ascii="宋体" w:hAnsi="宋体" w:cs="宋体"/>
          <w:color w:val="auto"/>
          <w:sz w:val="31"/>
          <w:szCs w:val="31"/>
          <w:highlight w:val="none"/>
        </w:rPr>
        <w:t>项目编号：</w:t>
      </w:r>
      <w:r>
        <w:rPr>
          <w:rStyle w:val="25"/>
          <w:rFonts w:hint="eastAsia" w:ascii="宋体" w:hAnsi="宋体" w:cs="宋体"/>
          <w:color w:val="auto"/>
          <w:sz w:val="31"/>
          <w:szCs w:val="31"/>
          <w:highlight w:val="none"/>
          <w:u w:val="single"/>
        </w:rPr>
        <w:t>（由投标人填写）</w:t>
      </w:r>
    </w:p>
    <w:p>
      <w:pPr>
        <w:pStyle w:val="18"/>
        <w:widowControl/>
        <w:ind w:firstLine="1920"/>
        <w:rPr>
          <w:rFonts w:ascii="宋体" w:hAnsi="宋体" w:cs="宋体"/>
          <w:color w:val="auto"/>
          <w:highlight w:val="none"/>
        </w:rPr>
      </w:pPr>
      <w:r>
        <w:rPr>
          <w:rStyle w:val="25"/>
          <w:rFonts w:hint="eastAsia" w:ascii="宋体" w:hAnsi="宋体" w:cs="宋体"/>
          <w:color w:val="auto"/>
          <w:sz w:val="31"/>
          <w:szCs w:val="31"/>
          <w:highlight w:val="none"/>
        </w:rPr>
        <w:t>所投合同包：</w:t>
      </w:r>
      <w:r>
        <w:rPr>
          <w:rStyle w:val="25"/>
          <w:rFonts w:hint="eastAsia" w:ascii="宋体" w:hAnsi="宋体" w:cs="宋体"/>
          <w:color w:val="auto"/>
          <w:sz w:val="31"/>
          <w:szCs w:val="31"/>
          <w:highlight w:val="none"/>
          <w:u w:val="single"/>
        </w:rPr>
        <w:t>（由投标人填写）</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rPr>
          <w:rFonts w:ascii="宋体" w:hAnsi="宋体" w:cs="宋体"/>
          <w:color w:val="auto"/>
          <w:highlight w:val="none"/>
        </w:rPr>
      </w:pPr>
      <w:r>
        <w:rPr>
          <w:rFonts w:hint="eastAsia" w:ascii="宋体" w:hAnsi="宋体" w:cs="宋体"/>
          <w:color w:val="auto"/>
          <w:sz w:val="36"/>
          <w:szCs w:val="36"/>
          <w:highlight w:val="none"/>
        </w:rPr>
        <w:t> </w:t>
      </w:r>
    </w:p>
    <w:p>
      <w:pPr>
        <w:pStyle w:val="18"/>
        <w:widowControl/>
        <w:jc w:val="center"/>
        <w:rPr>
          <w:rFonts w:ascii="宋体" w:hAnsi="宋体" w:cs="宋体"/>
          <w:color w:val="auto"/>
          <w:highlight w:val="none"/>
        </w:rPr>
      </w:pPr>
      <w:r>
        <w:rPr>
          <w:rStyle w:val="25"/>
          <w:rFonts w:hint="eastAsia" w:ascii="宋体" w:hAnsi="宋体" w:cs="宋体"/>
          <w:color w:val="auto"/>
          <w:sz w:val="31"/>
          <w:szCs w:val="31"/>
          <w:highlight w:val="none"/>
        </w:rPr>
        <w:t>投标人：</w:t>
      </w:r>
      <w:r>
        <w:rPr>
          <w:rStyle w:val="25"/>
          <w:rFonts w:hint="eastAsia" w:ascii="宋体" w:hAnsi="宋体" w:cs="宋体"/>
          <w:color w:val="auto"/>
          <w:sz w:val="31"/>
          <w:szCs w:val="31"/>
          <w:highlight w:val="none"/>
          <w:u w:val="single"/>
        </w:rPr>
        <w:t>（填写“全称”）</w:t>
      </w:r>
    </w:p>
    <w:p>
      <w:pPr>
        <w:pStyle w:val="18"/>
        <w:widowControl/>
        <w:jc w:val="center"/>
        <w:rPr>
          <w:rFonts w:ascii="宋体" w:hAnsi="宋体" w:cs="宋体"/>
          <w:color w:val="auto"/>
          <w:highlight w:val="none"/>
        </w:rPr>
      </w:pPr>
      <w:r>
        <w:rPr>
          <w:rStyle w:val="25"/>
          <w:rFonts w:hint="eastAsia" w:ascii="宋体" w:hAnsi="宋体" w:cs="宋体"/>
          <w:color w:val="auto"/>
          <w:sz w:val="31"/>
          <w:szCs w:val="31"/>
          <w:highlight w:val="none"/>
          <w:u w:val="single"/>
        </w:rPr>
        <w:t>（由投标人填写）</w:t>
      </w:r>
      <w:r>
        <w:rPr>
          <w:rStyle w:val="25"/>
          <w:rFonts w:hint="eastAsia" w:ascii="宋体" w:hAnsi="宋体" w:cs="宋体"/>
          <w:color w:val="auto"/>
          <w:sz w:val="31"/>
          <w:szCs w:val="31"/>
          <w:highlight w:val="none"/>
        </w:rPr>
        <w:t>年</w:t>
      </w:r>
      <w:r>
        <w:rPr>
          <w:rStyle w:val="25"/>
          <w:rFonts w:hint="eastAsia" w:ascii="宋体" w:hAnsi="宋体" w:cs="宋体"/>
          <w:color w:val="auto"/>
          <w:sz w:val="31"/>
          <w:szCs w:val="31"/>
          <w:highlight w:val="none"/>
          <w:u w:val="single"/>
        </w:rPr>
        <w:t>（由投标人填写）</w:t>
      </w:r>
      <w:r>
        <w:rPr>
          <w:rStyle w:val="25"/>
          <w:rFonts w:hint="eastAsia" w:ascii="宋体" w:hAnsi="宋体" w:cs="宋体"/>
          <w:color w:val="auto"/>
          <w:sz w:val="31"/>
          <w:szCs w:val="31"/>
          <w:highlight w:val="none"/>
        </w:rPr>
        <w:t>月</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5"/>
          <w:rFonts w:hint="eastAsia" w:ascii="宋体" w:hAnsi="宋体" w:cs="宋体"/>
          <w:color w:val="auto"/>
          <w:sz w:val="28"/>
          <w:szCs w:val="28"/>
          <w:highlight w:val="none"/>
        </w:rPr>
        <w:t>索引</w:t>
      </w:r>
    </w:p>
    <w:p>
      <w:pPr>
        <w:pStyle w:val="18"/>
        <w:widowControl/>
        <w:rPr>
          <w:rFonts w:ascii="宋体" w:hAnsi="宋体" w:cs="宋体"/>
          <w:color w:val="auto"/>
          <w:sz w:val="21"/>
          <w:szCs w:val="21"/>
          <w:highlight w:val="none"/>
        </w:rPr>
      </w:pPr>
      <w:r>
        <w:rPr>
          <w:rFonts w:hint="eastAsia" w:ascii="宋体" w:hAnsi="宋体" w:cs="宋体"/>
          <w:color w:val="auto"/>
          <w:sz w:val="22"/>
          <w:szCs w:val="22"/>
          <w:highlight w:val="none"/>
        </w:rPr>
        <w:t>一、标的说明一览表</w:t>
      </w:r>
    </w:p>
    <w:p>
      <w:pPr>
        <w:pStyle w:val="18"/>
        <w:widowControl/>
        <w:rPr>
          <w:rFonts w:ascii="宋体" w:hAnsi="宋体" w:cs="宋体"/>
          <w:color w:val="auto"/>
          <w:sz w:val="21"/>
          <w:szCs w:val="21"/>
          <w:highlight w:val="none"/>
        </w:rPr>
      </w:pPr>
      <w:r>
        <w:rPr>
          <w:rFonts w:hint="eastAsia" w:ascii="宋体" w:hAnsi="宋体" w:cs="宋体"/>
          <w:color w:val="auto"/>
          <w:sz w:val="22"/>
          <w:szCs w:val="22"/>
          <w:highlight w:val="none"/>
        </w:rPr>
        <w:t>二、技术和服务要求响应表</w:t>
      </w:r>
    </w:p>
    <w:p>
      <w:pPr>
        <w:pStyle w:val="18"/>
        <w:widowControl/>
        <w:rPr>
          <w:rFonts w:ascii="宋体" w:hAnsi="宋体" w:cs="宋体"/>
          <w:color w:val="auto"/>
          <w:sz w:val="21"/>
          <w:szCs w:val="21"/>
          <w:highlight w:val="none"/>
        </w:rPr>
      </w:pPr>
      <w:r>
        <w:rPr>
          <w:rFonts w:hint="eastAsia" w:ascii="宋体" w:hAnsi="宋体" w:cs="宋体"/>
          <w:color w:val="auto"/>
          <w:sz w:val="22"/>
          <w:szCs w:val="22"/>
          <w:highlight w:val="none"/>
        </w:rPr>
        <w:t>三、商务条件响应表</w:t>
      </w:r>
    </w:p>
    <w:p>
      <w:pPr>
        <w:pStyle w:val="18"/>
        <w:widowControl/>
        <w:rPr>
          <w:rFonts w:ascii="宋体" w:hAnsi="宋体" w:cs="宋体"/>
          <w:color w:val="auto"/>
          <w:sz w:val="21"/>
          <w:szCs w:val="21"/>
          <w:highlight w:val="none"/>
        </w:rPr>
      </w:pPr>
      <w:r>
        <w:rPr>
          <w:rFonts w:hint="eastAsia" w:ascii="宋体" w:hAnsi="宋体" w:cs="宋体"/>
          <w:color w:val="auto"/>
          <w:sz w:val="22"/>
          <w:szCs w:val="22"/>
          <w:highlight w:val="none"/>
        </w:rPr>
        <w:t>四、投标人提交的其他资料（若有）</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pStyle w:val="18"/>
        <w:widowControl/>
        <w:jc w:val="center"/>
        <w:rPr>
          <w:rFonts w:ascii="宋体" w:hAnsi="宋体" w:cs="宋体"/>
          <w:color w:val="auto"/>
          <w:highlight w:val="none"/>
        </w:rPr>
      </w:pPr>
      <w:r>
        <w:rPr>
          <w:rFonts w:hint="eastAsia" w:ascii="宋体" w:hAnsi="宋体" w:cs="宋体"/>
          <w:color w:val="auto"/>
          <w:sz w:val="21"/>
          <w:szCs w:val="21"/>
          <w:highlight w:val="none"/>
        </w:rPr>
        <w:t>★注意</w:t>
      </w:r>
    </w:p>
    <w:p>
      <w:pPr>
        <w:pStyle w:val="18"/>
        <w:widowControl/>
        <w:ind w:firstLine="420"/>
        <w:rPr>
          <w:rFonts w:ascii="宋体" w:hAnsi="宋体" w:cs="宋体"/>
          <w:color w:val="auto"/>
          <w:highlight w:val="none"/>
        </w:rPr>
      </w:pPr>
      <w:r>
        <w:rPr>
          <w:rFonts w:hint="eastAsia" w:ascii="宋体" w:hAnsi="宋体" w:cs="宋体"/>
          <w:color w:val="auto"/>
          <w:sz w:val="21"/>
          <w:szCs w:val="21"/>
          <w:highlight w:val="none"/>
        </w:rPr>
        <w:t>技术商务部分中不得出现报价部分的全部或部分的投标报价信息（或组成资料），否则</w:t>
      </w:r>
      <w:r>
        <w:rPr>
          <w:rStyle w:val="25"/>
          <w:rFonts w:hint="eastAsia" w:ascii="宋体" w:hAnsi="宋体" w:cs="宋体"/>
          <w:color w:val="auto"/>
          <w:sz w:val="21"/>
          <w:szCs w:val="21"/>
          <w:highlight w:val="none"/>
        </w:rPr>
        <w:t>符合性审查不合格</w:t>
      </w:r>
      <w:r>
        <w:rPr>
          <w:rFonts w:hint="eastAsia" w:ascii="宋体" w:hAnsi="宋体" w:cs="宋体"/>
          <w:color w:val="auto"/>
          <w:sz w:val="21"/>
          <w:szCs w:val="21"/>
          <w:highlight w:val="none"/>
        </w:rPr>
        <w:t>。</w:t>
      </w:r>
    </w:p>
    <w:p>
      <w:pPr>
        <w:pStyle w:val="18"/>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8"/>
        <w:widowControl/>
        <w:ind w:firstLine="420"/>
        <w:rPr>
          <w:rFonts w:ascii="宋体" w:hAnsi="宋体" w:cs="宋体"/>
          <w:color w:val="auto"/>
          <w:highlight w:val="none"/>
        </w:rPr>
      </w:pPr>
      <w:r>
        <w:rPr>
          <w:rFonts w:hint="eastAsia" w:ascii="宋体" w:hAnsi="宋体" w:cs="宋体"/>
          <w:color w:val="auto"/>
          <w:sz w:val="21"/>
          <w:szCs w:val="21"/>
          <w:highlight w:val="none"/>
        </w:rPr>
        <w:t> </w:t>
      </w: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highlight w:val="none"/>
        </w:rPr>
      </w:pPr>
      <w:r>
        <w:rPr>
          <w:rFonts w:hint="eastAsia" w:ascii="宋体" w:hAnsi="宋体" w:cs="宋体"/>
          <w:color w:val="auto"/>
          <w:sz w:val="21"/>
          <w:szCs w:val="21"/>
          <w:highlight w:val="none"/>
        </w:rPr>
        <w:br w:type="textWrapping"/>
      </w:r>
      <w:r>
        <w:rPr>
          <w:rStyle w:val="25"/>
          <w:rFonts w:hint="eastAsia" w:ascii="宋体" w:hAnsi="宋体" w:cs="宋体"/>
          <w:color w:val="auto"/>
          <w:sz w:val="21"/>
          <w:szCs w:val="21"/>
          <w:highlight w:val="none"/>
        </w:rPr>
        <w:t>一、标的说明一览表</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80"/>
        <w:gridCol w:w="869"/>
        <w:gridCol w:w="1663"/>
        <w:gridCol w:w="864"/>
        <w:gridCol w:w="1146"/>
        <w:gridCol w:w="1135"/>
        <w:gridCol w:w="186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39"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1633"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投标标的</w:t>
            </w:r>
          </w:p>
        </w:tc>
        <w:tc>
          <w:tcPr>
            <w:tcW w:w="83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数量</w:t>
            </w:r>
          </w:p>
        </w:tc>
        <w:tc>
          <w:tcPr>
            <w:tcW w:w="111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规格（品牌/型号）</w:t>
            </w:r>
          </w:p>
        </w:tc>
        <w:tc>
          <w:tcPr>
            <w:tcW w:w="1105"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来源地</w:t>
            </w:r>
          </w:p>
        </w:tc>
        <w:tc>
          <w:tcPr>
            <w:tcW w:w="181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3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39"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633"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83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16"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105"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1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1.1“采购包”、“品目号”、“投标标的”及“数量”应与招标文件《采购标的一览表》中的有关内容（“采购包”、“品目号”、“采购标的”及“数量”）保持一致。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1.2“投标标的”为货物的：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项下应填写货物制造厂商赋予的品牌（属于节能、环保清单产品的货物，填写的品牌名称应与清单载明的品牌名称保持一致）及具体型号。</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应填写货物的原产地。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1.3“投标标的”为服务的：</w:t>
      </w:r>
      <w:r>
        <w:rPr>
          <w:rFonts w:hint="eastAsia" w:ascii="宋体" w:hAnsi="宋体" w:cs="宋体"/>
          <w:b/>
          <w:bCs/>
          <w:color w:val="auto"/>
          <w:kern w:val="0"/>
          <w:szCs w:val="21"/>
          <w:highlight w:val="none"/>
        </w:rPr>
        <w:t>“规格”</w:t>
      </w:r>
      <w:r>
        <w:rPr>
          <w:rFonts w:hint="eastAsia" w:ascii="宋体" w:hAnsi="宋体" w:cs="宋体"/>
          <w:color w:val="auto"/>
          <w:kern w:val="0"/>
          <w:szCs w:val="21"/>
          <w:highlight w:val="none"/>
        </w:rPr>
        <w:t>项下应填写服务提供者提供的服务标准及品牌（若有）。</w:t>
      </w:r>
      <w:r>
        <w:rPr>
          <w:rFonts w:hint="eastAsia" w:ascii="宋体" w:hAnsi="宋体" w:cs="宋体"/>
          <w:b/>
          <w:bCs/>
          <w:color w:val="auto"/>
          <w:kern w:val="0"/>
          <w:szCs w:val="21"/>
          <w:highlight w:val="none"/>
        </w:rPr>
        <w:t>“来源地”</w:t>
      </w:r>
      <w:r>
        <w:rPr>
          <w:rFonts w:hint="eastAsia" w:ascii="宋体" w:hAnsi="宋体" w:cs="宋体"/>
          <w:color w:val="auto"/>
          <w:kern w:val="0"/>
          <w:szCs w:val="21"/>
          <w:highlight w:val="none"/>
        </w:rPr>
        <w:t>应填写服务提供者的所在地。</w:t>
      </w:r>
      <w:r>
        <w:rPr>
          <w:rFonts w:hint="eastAsia" w:ascii="宋体" w:hAnsi="宋体" w:cs="宋体"/>
          <w:b/>
          <w:bCs/>
          <w:color w:val="auto"/>
          <w:kern w:val="0"/>
          <w:szCs w:val="21"/>
          <w:highlight w:val="none"/>
        </w:rPr>
        <w:t>“备注”</w:t>
      </w:r>
      <w:r>
        <w:rPr>
          <w:rFonts w:hint="eastAsia" w:ascii="宋体" w:hAnsi="宋体" w:cs="宋体"/>
          <w:color w:val="auto"/>
          <w:kern w:val="0"/>
          <w:szCs w:val="21"/>
          <w:highlight w:val="none"/>
        </w:rPr>
        <w:t>项下应填写关于服务标准所涵盖的具体项目或内容的说明等。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3、投标文件中涉及</w:t>
      </w:r>
      <w:r>
        <w:rPr>
          <w:rFonts w:hint="eastAsia" w:ascii="宋体" w:hAnsi="宋体" w:cs="宋体"/>
          <w:b/>
          <w:bCs/>
          <w:color w:val="auto"/>
          <w:kern w:val="0"/>
          <w:szCs w:val="21"/>
          <w:highlight w:val="none"/>
        </w:rPr>
        <w:t>“投标标的”、“数量”、“规格”、“来源地”</w:t>
      </w:r>
      <w:r>
        <w:rPr>
          <w:rFonts w:hint="eastAsia" w:ascii="宋体" w:hAnsi="宋体" w:cs="宋体"/>
          <w:color w:val="auto"/>
          <w:kern w:val="0"/>
          <w:szCs w:val="21"/>
          <w:highlight w:val="none"/>
        </w:rPr>
        <w:t>的内容若不一致，</w:t>
      </w:r>
      <w:r>
        <w:rPr>
          <w:rFonts w:hint="eastAsia" w:ascii="宋体" w:hAnsi="宋体" w:cs="宋体"/>
          <w:b/>
          <w:bCs/>
          <w:color w:val="auto"/>
          <w:kern w:val="0"/>
          <w:szCs w:val="21"/>
          <w:highlight w:val="none"/>
        </w:rPr>
        <w:t>应以本表为准</w:t>
      </w:r>
      <w:r>
        <w:rPr>
          <w:rFonts w:hint="eastAsia" w:ascii="宋体" w:hAnsi="宋体" w:cs="宋体"/>
          <w:color w:val="auto"/>
          <w:kern w:val="0"/>
          <w:szCs w:val="21"/>
          <w:highlight w:val="none"/>
        </w:rPr>
        <w:t>。</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8"/>
        <w:widowControl/>
        <w:jc w:val="center"/>
        <w:rPr>
          <w:rStyle w:val="25"/>
          <w:rFonts w:ascii="宋体" w:hAnsi="宋体" w:cs="宋体"/>
          <w:color w:val="auto"/>
          <w:sz w:val="21"/>
          <w:szCs w:val="21"/>
          <w:highlight w:val="none"/>
        </w:rPr>
      </w:pPr>
      <w:r>
        <w:rPr>
          <w:rFonts w:hint="eastAsia" w:ascii="宋体" w:hAnsi="宋体" w:cs="宋体"/>
          <w:color w:val="auto"/>
          <w:sz w:val="21"/>
          <w:szCs w:val="21"/>
          <w:highlight w:val="none"/>
        </w:rPr>
        <w:t> </w:t>
      </w:r>
      <w:r>
        <w:rPr>
          <w:rStyle w:val="25"/>
          <w:rFonts w:hint="eastAsia" w:ascii="宋体" w:hAnsi="宋体" w:cs="宋体"/>
          <w:color w:val="auto"/>
          <w:sz w:val="21"/>
          <w:szCs w:val="21"/>
          <w:highlight w:val="none"/>
        </w:rPr>
        <w:br w:type="textWrapping"/>
      </w:r>
    </w:p>
    <w:p>
      <w:pPr>
        <w:pStyle w:val="18"/>
        <w:widowControl/>
        <w:jc w:val="center"/>
        <w:rPr>
          <w:rStyle w:val="25"/>
          <w:rFonts w:ascii="宋体" w:hAnsi="宋体" w:cs="宋体"/>
          <w:color w:val="auto"/>
          <w:sz w:val="21"/>
          <w:szCs w:val="21"/>
          <w:highlight w:val="none"/>
        </w:rPr>
      </w:pPr>
    </w:p>
    <w:p>
      <w:pPr>
        <w:pStyle w:val="18"/>
        <w:widowControl/>
        <w:jc w:val="center"/>
        <w:rPr>
          <w:rFonts w:ascii="宋体" w:hAnsi="宋体" w:cs="宋体"/>
          <w:color w:val="auto"/>
          <w:highlight w:val="none"/>
        </w:rPr>
      </w:pPr>
      <w:r>
        <w:rPr>
          <w:rStyle w:val="25"/>
          <w:rFonts w:hint="eastAsia" w:ascii="宋体" w:hAnsi="宋体" w:cs="宋体"/>
          <w:color w:val="auto"/>
          <w:sz w:val="21"/>
          <w:szCs w:val="21"/>
          <w:highlight w:val="none"/>
        </w:rPr>
        <w:t>二、技术和服务要求响应表</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55" w:hRule="atLeast"/>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技术和服务要求</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1.1“技术和服务要求”项下填写的内容应与招标文件第五章“技术和服务要求”的内容保持一致。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 w:val="2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75" w:after="75"/>
        <w:jc w:val="left"/>
        <w:rPr>
          <w:rFonts w:ascii="宋体" w:hAnsi="宋体" w:cs="宋体"/>
          <w:color w:val="auto"/>
          <w:kern w:val="0"/>
          <w:sz w:val="24"/>
          <w:highlight w:val="none"/>
        </w:rPr>
      </w:pPr>
      <w:r>
        <w:rPr>
          <w:rFonts w:hint="eastAsia" w:ascii="宋体" w:hAnsi="宋体" w:cs="宋体"/>
          <w:color w:val="auto"/>
          <w:kern w:val="0"/>
          <w:sz w:val="24"/>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p>
    <w:p>
      <w:pPr>
        <w:pStyle w:val="18"/>
        <w:widowControl/>
        <w:jc w:val="center"/>
        <w:rPr>
          <w:rFonts w:ascii="宋体" w:hAnsi="宋体" w:cs="宋体"/>
          <w:color w:val="auto"/>
          <w:sz w:val="21"/>
          <w:szCs w:val="21"/>
          <w:highlight w:val="none"/>
        </w:rPr>
      </w:pPr>
      <w:r>
        <w:rPr>
          <w:rFonts w:hint="eastAsia" w:ascii="宋体" w:hAnsi="宋体" w:cs="宋体"/>
          <w:color w:val="auto"/>
          <w:sz w:val="21"/>
          <w:szCs w:val="21"/>
          <w:highlight w:val="none"/>
        </w:rPr>
        <w:br w:type="textWrapping"/>
      </w: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sz w:val="21"/>
          <w:szCs w:val="21"/>
          <w:highlight w:val="none"/>
        </w:rPr>
      </w:pPr>
    </w:p>
    <w:p>
      <w:pPr>
        <w:pStyle w:val="18"/>
        <w:widowControl/>
        <w:jc w:val="center"/>
        <w:rPr>
          <w:rFonts w:ascii="宋体" w:hAnsi="宋体" w:cs="宋体"/>
          <w:color w:val="auto"/>
          <w:highlight w:val="none"/>
        </w:rPr>
      </w:pPr>
      <w:r>
        <w:rPr>
          <w:rStyle w:val="25"/>
          <w:rFonts w:hint="eastAsia" w:ascii="宋体" w:hAnsi="宋体" w:cs="宋体"/>
          <w:color w:val="auto"/>
          <w:sz w:val="21"/>
          <w:szCs w:val="21"/>
          <w:highlight w:val="none"/>
        </w:rPr>
        <w:t>三、商务条件响应表</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u w:val="single"/>
        </w:rPr>
        <w:t>                   </w:t>
      </w:r>
    </w:p>
    <w:tbl>
      <w:tblPr>
        <w:tblStyle w:val="21"/>
        <w:tblW w:w="852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990"/>
        <w:gridCol w:w="876"/>
        <w:gridCol w:w="2927"/>
        <w:gridCol w:w="1834"/>
        <w:gridCol w:w="189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采购包</w:t>
            </w:r>
          </w:p>
        </w:tc>
        <w:tc>
          <w:tcPr>
            <w:tcW w:w="846"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品目号</w:t>
            </w:r>
          </w:p>
        </w:tc>
        <w:tc>
          <w:tcPr>
            <w:tcW w:w="2897"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商务条件</w:t>
            </w:r>
          </w:p>
        </w:tc>
        <w:tc>
          <w:tcPr>
            <w:tcW w:w="1804"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投标响应</w:t>
            </w:r>
          </w:p>
        </w:tc>
        <w:tc>
          <w:tcPr>
            <w:tcW w:w="1848" w:type="dxa"/>
            <w:tcBorders>
              <w:top w:val="outset" w:color="auto" w:sz="6" w:space="0"/>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是否偏离及说明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restart"/>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*-1</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vMerge w:val="continue"/>
            <w:tcBorders>
              <w:top w:val="nil"/>
              <w:left w:val="outset" w:color="auto" w:sz="6" w:space="0"/>
              <w:bottom w:val="outset" w:color="auto" w:sz="6" w:space="0"/>
              <w:right w:val="outset" w:color="auto" w:sz="6" w:space="0"/>
            </w:tcBorders>
            <w:vAlign w:val="center"/>
          </w:tcPr>
          <w:p>
            <w:pPr>
              <w:widowControl/>
              <w:jc w:val="left"/>
              <w:rPr>
                <w:rFonts w:ascii="宋体" w:hAnsi="宋体" w:cs="宋体"/>
                <w:color w:val="auto"/>
                <w:kern w:val="0"/>
                <w:sz w:val="24"/>
                <w:highlight w:val="none"/>
              </w:rPr>
            </w:pP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2897"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tcPr>
          <w:p>
            <w:pPr>
              <w:widowControl/>
              <w:jc w:val="left"/>
              <w:rPr>
                <w:rFonts w:ascii="宋体" w:hAnsi="宋体" w:cs="宋体"/>
                <w:color w:val="auto"/>
                <w:kern w:val="0"/>
                <w:sz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945" w:type="dxa"/>
            <w:tcBorders>
              <w:top w:val="nil"/>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w:t>
            </w:r>
          </w:p>
        </w:tc>
        <w:tc>
          <w:tcPr>
            <w:tcW w:w="846"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2897"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04"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c>
          <w:tcPr>
            <w:tcW w:w="1848" w:type="dxa"/>
            <w:tcBorders>
              <w:top w:val="nil"/>
              <w:left w:val="nil"/>
              <w:bottom w:val="outset" w:color="auto" w:sz="6" w:space="0"/>
              <w:right w:val="outset" w:color="auto" w:sz="6" w:space="0"/>
            </w:tcBorders>
            <w:tcMar>
              <w:top w:w="0" w:type="dxa"/>
              <w:left w:w="105" w:type="dxa"/>
              <w:bottom w:w="0" w:type="dxa"/>
              <w:right w:w="105" w:type="dxa"/>
            </w:tcMar>
            <w:vAlign w:val="center"/>
          </w:tcPr>
          <w:p>
            <w:pPr>
              <w:widowControl/>
              <w:jc w:val="left"/>
              <w:rPr>
                <w:rFonts w:ascii="宋体" w:hAnsi="宋体" w:cs="宋体"/>
                <w:color w:val="auto"/>
                <w:kern w:val="0"/>
                <w:sz w:val="24"/>
                <w:highlight w:val="none"/>
              </w:rPr>
            </w:pPr>
          </w:p>
        </w:tc>
      </w:tr>
    </w:tbl>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※注意：</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1、本表应按照下列规定填写：</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1.1“商务条件”项下填写的内容应与招标文件第五章“商务条件”的内容保持一致。</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1.2“投标响应”项下应填写具体的响应内容并与“商务条件”项下填写的内容逐项对应；对“商务条件”项下涉及“≥或＞”、“≤或＜”及某个区间值范围内的内容，应填写具体的数值。</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1.3“是否偏离及说明”项下应按下列规定填写：优于的，填写“正偏离”；符合的，填写“无偏离”；低于的，填写“负偏离”。</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2、投标人需要说明的内容若需特殊表达，应先在本表中进行相应说明，再另页应答，但应做好标注说明，方便评委查阅评审。未标注说明可能导致的不利的评审后果由投标人自行承担。</w:t>
      </w:r>
    </w:p>
    <w:p>
      <w:pPr>
        <w:widowControl/>
        <w:spacing w:before="100" w:beforeAutospacing="1" w:after="100" w:afterAutospacing="1"/>
        <w:jc w:val="left"/>
        <w:rPr>
          <w:rFonts w:ascii="宋体" w:hAnsi="宋体" w:cs="宋体"/>
          <w:color w:val="auto"/>
          <w:kern w:val="0"/>
          <w:sz w:val="24"/>
          <w:highlight w:val="none"/>
        </w:rPr>
      </w:pP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w:t>
      </w:r>
      <w:r>
        <w:rPr>
          <w:rFonts w:hint="eastAsia" w:ascii="宋体" w:hAnsi="宋体" w:cs="宋体"/>
          <w:color w:val="auto"/>
          <w:sz w:val="21"/>
          <w:szCs w:val="21"/>
          <w:highlight w:val="none"/>
          <w:u w:val="single"/>
        </w:rPr>
        <w:t>（全称并加盖单位公章）</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投标人代表签字：</w:t>
      </w:r>
      <w:r>
        <w:rPr>
          <w:rFonts w:hint="eastAsia" w:ascii="宋体" w:hAnsi="宋体" w:cs="宋体"/>
          <w:color w:val="auto"/>
          <w:sz w:val="21"/>
          <w:szCs w:val="21"/>
          <w:highlight w:val="none"/>
          <w:u w:val="single"/>
        </w:rPr>
        <w:t>        </w:t>
      </w:r>
    </w:p>
    <w:p>
      <w:pPr>
        <w:pStyle w:val="18"/>
        <w:widowControl/>
        <w:spacing w:line="480" w:lineRule="exact"/>
        <w:rPr>
          <w:rFonts w:ascii="宋体" w:hAnsi="宋体" w:cs="宋体"/>
          <w:color w:val="auto"/>
          <w:sz w:val="21"/>
          <w:szCs w:val="21"/>
          <w:highlight w:val="none"/>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w:t>
      </w:r>
      <w:r>
        <w:rPr>
          <w:rFonts w:hint="eastAsia" w:ascii="宋体" w:hAnsi="宋体" w:cs="宋体"/>
          <w:color w:val="auto"/>
          <w:sz w:val="21"/>
          <w:szCs w:val="21"/>
          <w:highlight w:val="none"/>
        </w:rPr>
        <w:t>日</w:t>
      </w:r>
    </w:p>
    <w:p>
      <w:pPr>
        <w:pStyle w:val="18"/>
        <w:widowControl/>
        <w:rPr>
          <w:rFonts w:ascii="宋体" w:hAnsi="宋体" w:cs="宋体"/>
          <w:color w:val="auto"/>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r>
        <w:rPr>
          <w:rFonts w:hint="eastAsia" w:ascii="宋体" w:hAnsi="宋体" w:cs="宋体"/>
          <w:color w:val="auto"/>
          <w:sz w:val="21"/>
          <w:szCs w:val="21"/>
          <w:highlight w:val="none"/>
        </w:rPr>
        <w:t> </w:t>
      </w:r>
    </w:p>
    <w:p>
      <w:pPr>
        <w:pStyle w:val="18"/>
        <w:widowControl/>
        <w:rPr>
          <w:rFonts w:ascii="宋体" w:hAnsi="宋体" w:cs="宋体"/>
          <w:color w:val="auto"/>
          <w:sz w:val="21"/>
          <w:szCs w:val="21"/>
          <w:highlight w:val="none"/>
        </w:rPr>
      </w:pPr>
    </w:p>
    <w:p>
      <w:pPr>
        <w:pStyle w:val="18"/>
        <w:widowControl/>
        <w:rPr>
          <w:rFonts w:ascii="宋体" w:hAnsi="宋体" w:cs="宋体"/>
          <w:color w:val="auto"/>
          <w:sz w:val="21"/>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br w:type="page"/>
      </w:r>
    </w:p>
    <w:p>
      <w:pPr>
        <w:rPr>
          <w:color w:val="auto"/>
          <w:highlight w:val="none"/>
        </w:rPr>
      </w:pP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b/>
          <w:bCs/>
          <w:color w:val="auto"/>
          <w:kern w:val="0"/>
          <w:szCs w:val="21"/>
          <w:highlight w:val="none"/>
        </w:rPr>
        <w:t>四、投标人提交的其他资料（若有）</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center"/>
        <w:rPr>
          <w:rFonts w:ascii="宋体" w:hAnsi="宋体" w:cs="宋体"/>
          <w:color w:val="auto"/>
          <w:kern w:val="0"/>
          <w:sz w:val="24"/>
          <w:highlight w:val="none"/>
        </w:rPr>
      </w:pPr>
      <w:r>
        <w:rPr>
          <w:rFonts w:hint="eastAsia" w:ascii="宋体" w:hAnsi="宋体" w:cs="宋体"/>
          <w:color w:val="auto"/>
          <w:kern w:val="0"/>
          <w:szCs w:val="21"/>
          <w:highlight w:val="none"/>
        </w:rPr>
        <w:t>编制说明</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 </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1、招标文件要求提交的除</w:t>
      </w:r>
      <w:r>
        <w:rPr>
          <w:rFonts w:hint="eastAsia" w:ascii="宋体" w:hAnsi="宋体" w:cs="宋体"/>
          <w:b/>
          <w:bCs/>
          <w:color w:val="auto"/>
          <w:kern w:val="0"/>
          <w:szCs w:val="21"/>
          <w:highlight w:val="none"/>
        </w:rPr>
        <w:t>“资格及资信证明部分”、“报价部分”</w:t>
      </w:r>
      <w:r>
        <w:rPr>
          <w:rFonts w:hint="eastAsia" w:ascii="宋体" w:hAnsi="宋体" w:cs="宋体"/>
          <w:color w:val="auto"/>
          <w:kern w:val="0"/>
          <w:szCs w:val="21"/>
          <w:highlight w:val="none"/>
        </w:rPr>
        <w:t>外的其他证明材料或资料加盖投标人的单位公章后应在此项下提交。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2、招标文件要求投标人提供方案（包括但不限于：组织、实施、技术、服务方案等）的，投标人应在此项下提交。</w:t>
      </w:r>
    </w:p>
    <w:p>
      <w:pPr>
        <w:widowControl/>
        <w:spacing w:before="100" w:beforeAutospacing="1" w:after="100" w:afterAutospacing="1"/>
        <w:jc w:val="left"/>
        <w:rPr>
          <w:rFonts w:ascii="宋体" w:hAnsi="宋体" w:cs="宋体"/>
          <w:color w:val="auto"/>
          <w:kern w:val="0"/>
          <w:sz w:val="24"/>
          <w:highlight w:val="none"/>
        </w:rPr>
      </w:pPr>
      <w:r>
        <w:rPr>
          <w:rFonts w:hint="eastAsia" w:ascii="宋体" w:hAnsi="宋体" w:cs="宋体"/>
          <w:color w:val="auto"/>
          <w:kern w:val="0"/>
          <w:szCs w:val="21"/>
          <w:highlight w:val="none"/>
        </w:rPr>
        <w:t>3、除招标文件另有规定外，投标人认为需要提交的其他证明材料或资料加盖投标人的单位公章后应在此项下提交。</w:t>
      </w:r>
    </w:p>
    <w:p>
      <w:pPr>
        <w:rPr>
          <w:rFonts w:ascii="宋体" w:hAnsi="宋体" w:cs="宋体"/>
          <w:color w:val="auto"/>
          <w:highlight w:val="none"/>
        </w:rPr>
      </w:pPr>
    </w:p>
    <w:p>
      <w:pPr>
        <w:pStyle w:val="34"/>
        <w:rPr>
          <w:rFonts w:ascii="宋体" w:hAnsi="宋体" w:cs="宋体"/>
          <w:color w:val="auto"/>
          <w:highlight w:val="none"/>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dobe 仿宋 Std R">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240" w:lineRule="atLeast"/>
      <w:jc w:val="center"/>
      <w:rPr>
        <w:rFonts w:asci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Pr>
        <w:rFonts w:ascii="宋体" w:hAnsi="宋体"/>
        <w:sz w:val="21"/>
        <w:szCs w:val="21"/>
      </w:rPr>
      <w:t>52</w:t>
    </w:r>
    <w:r>
      <w:rPr>
        <w:rFonts w:ascii="宋体" w:hAnsi="宋体"/>
        <w:sz w:val="21"/>
        <w:szCs w:val="21"/>
      </w:rPr>
      <w:fldChar w:fldCharType="end"/>
    </w:r>
    <w:r>
      <w:rPr>
        <w:rFonts w:hint="eastAsia" w:ascii="宋体" w:hAnsi="宋体"/>
        <w:sz w:val="21"/>
        <w:szCs w:val="21"/>
      </w:rPr>
      <w:t>页共</w:t>
    </w:r>
    <w:r>
      <w:rPr>
        <w:rFonts w:ascii="宋体" w:hAnsi="宋体"/>
        <w:sz w:val="21"/>
        <w:szCs w:val="21"/>
      </w:rPr>
      <w:fldChar w:fldCharType="begin"/>
    </w:r>
    <w:r>
      <w:rPr>
        <w:rFonts w:ascii="宋体" w:hAnsi="宋体"/>
        <w:sz w:val="21"/>
        <w:szCs w:val="21"/>
      </w:rPr>
      <w:instrText xml:space="preserve"> NUMPAGES </w:instrText>
    </w:r>
    <w:r>
      <w:rPr>
        <w:rFonts w:ascii="宋体" w:hAnsi="宋体"/>
        <w:sz w:val="21"/>
        <w:szCs w:val="21"/>
      </w:rPr>
      <w:fldChar w:fldCharType="separate"/>
    </w:r>
    <w:r>
      <w:rPr>
        <w:rFonts w:ascii="宋体" w:hAnsi="宋体"/>
        <w:sz w:val="21"/>
        <w:szCs w:val="21"/>
      </w:rPr>
      <w:t>101</w:t>
    </w:r>
    <w:r>
      <w:rPr>
        <w:rFonts w:ascii="宋体" w:hAnsi="宋体"/>
        <w:sz w:val="21"/>
        <w:szCs w:val="21"/>
      </w:rPr>
      <w:fldChar w:fldCharType="end"/>
    </w:r>
    <w:r>
      <w:rPr>
        <w:rFonts w:hint="eastAsia" w:ascii="宋体" w:hAnsi="宋体"/>
        <w:sz w:val="21"/>
        <w:szCs w:val="21"/>
      </w:rPr>
      <w:t>页</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top w:val="none" w:color="auto" w:sz="0" w:space="0"/>
        <w:left w:val="none" w:color="auto" w:sz="0" w:space="0"/>
        <w:bottom w:val="none" w:color="auto" w:sz="0" w:space="0"/>
        <w:right w:val="none" w:color="auto" w:sz="0" w:space="0"/>
      </w:pBdr>
      <w:rPr>
        <w:u w:val="single"/>
      </w:rPr>
    </w:pPr>
    <w:r>
      <w:rPr>
        <w:rFonts w:hint="eastAsia"/>
        <w:u w:val="single"/>
      </w:rPr>
      <w:t xml:space="preserve">招标文件                                                                   建融建设管理集团有限责任公司 </w:t>
    </w:r>
  </w:p>
  <w:p>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873EF"/>
    <w:multiLevelType w:val="singleLevel"/>
    <w:tmpl w:val="A6D873EF"/>
    <w:lvl w:ilvl="0" w:tentative="0">
      <w:start w:val="3"/>
      <w:numFmt w:val="decimal"/>
      <w:suff w:val="nothing"/>
      <w:lvlText w:val="%1、"/>
      <w:lvlJc w:val="left"/>
    </w:lvl>
  </w:abstractNum>
  <w:abstractNum w:abstractNumId="1">
    <w:nsid w:val="DA9D3F08"/>
    <w:multiLevelType w:val="singleLevel"/>
    <w:tmpl w:val="DA9D3F08"/>
    <w:lvl w:ilvl="0" w:tentative="0">
      <w:start w:val="7"/>
      <w:numFmt w:val="decimal"/>
      <w:suff w:val="nothing"/>
      <w:lvlText w:val="%1、"/>
      <w:lvlJc w:val="left"/>
    </w:lvl>
  </w:abstractNum>
  <w:abstractNum w:abstractNumId="2">
    <w:nsid w:val="00000001"/>
    <w:multiLevelType w:val="singleLevel"/>
    <w:tmpl w:val="00000001"/>
    <w:lvl w:ilvl="0" w:tentative="0">
      <w:start w:val="1"/>
      <w:numFmt w:val="decimal"/>
      <w:lvlText w:val="%1)"/>
      <w:lvlJc w:val="left"/>
      <w:pPr>
        <w:tabs>
          <w:tab w:val="left" w:pos="312"/>
        </w:tabs>
      </w:pPr>
      <w:rPr>
        <w:rFonts w:cs="Times New Roman"/>
      </w:rPr>
    </w:lvl>
  </w:abstractNum>
  <w:abstractNum w:abstractNumId="3">
    <w:nsid w:val="00000004"/>
    <w:multiLevelType w:val="multilevel"/>
    <w:tmpl w:val="00000004"/>
    <w:lvl w:ilvl="0" w:tentative="0">
      <w:start w:val="1"/>
      <w:numFmt w:val="decimalEnclosedCircle"/>
      <w:lvlText w:val="%1"/>
      <w:lvlJc w:val="left"/>
      <w:pPr>
        <w:ind w:left="360" w:hanging="360"/>
      </w:pPr>
      <w:rPr>
        <w:rFonts w:hint="default"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08DFA91"/>
    <w:multiLevelType w:val="singleLevel"/>
    <w:tmpl w:val="108DFA91"/>
    <w:lvl w:ilvl="0" w:tentative="0">
      <w:start w:val="2"/>
      <w:numFmt w:val="chineseCounting"/>
      <w:suff w:val="nothing"/>
      <w:lvlText w:val="%1、"/>
      <w:lvlJc w:val="left"/>
      <w:rPr>
        <w:rFonts w:hint="eastAsia"/>
      </w:rPr>
    </w:lvl>
  </w:abstractNum>
  <w:abstractNum w:abstractNumId="5">
    <w:nsid w:val="21C532B0"/>
    <w:multiLevelType w:val="multilevel"/>
    <w:tmpl w:val="21C532B0"/>
    <w:lvl w:ilvl="0" w:tentative="0">
      <w:start w:val="1"/>
      <w:numFmt w:val="decimal"/>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2D935BF"/>
    <w:multiLevelType w:val="singleLevel"/>
    <w:tmpl w:val="72D935BF"/>
    <w:lvl w:ilvl="0" w:tentative="0">
      <w:start w:val="1"/>
      <w:numFmt w:val="lowerLetter"/>
      <w:lvlText w:val="%1."/>
      <w:lvlJc w:val="left"/>
      <w:pPr>
        <w:tabs>
          <w:tab w:val="left" w:pos="312"/>
        </w:tabs>
      </w:pPr>
    </w:lvl>
  </w:abstractNum>
  <w:abstractNum w:abstractNumId="7">
    <w:nsid w:val="7499EF16"/>
    <w:multiLevelType w:val="singleLevel"/>
    <w:tmpl w:val="7499EF16"/>
    <w:lvl w:ilvl="0" w:tentative="0">
      <w:start w:val="10"/>
      <w:numFmt w:val="decimal"/>
      <w:suff w:val="nothing"/>
      <w:lvlText w:val="%1、"/>
      <w:lvlJc w:val="left"/>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5Mzc0ZjU3YWIwYWM4NzRkOGUyYTIyYzU3YzdmN2MifQ=="/>
  </w:docVars>
  <w:rsids>
    <w:rsidRoot w:val="00131D37"/>
    <w:rsid w:val="00004A0A"/>
    <w:rsid w:val="000242A5"/>
    <w:rsid w:val="000323D0"/>
    <w:rsid w:val="00054746"/>
    <w:rsid w:val="000924C9"/>
    <w:rsid w:val="000A36E9"/>
    <w:rsid w:val="000D71A3"/>
    <w:rsid w:val="00101D0D"/>
    <w:rsid w:val="001034FF"/>
    <w:rsid w:val="00130B85"/>
    <w:rsid w:val="00131D37"/>
    <w:rsid w:val="001E41EE"/>
    <w:rsid w:val="00200386"/>
    <w:rsid w:val="0020442A"/>
    <w:rsid w:val="00226793"/>
    <w:rsid w:val="00246FE7"/>
    <w:rsid w:val="00247808"/>
    <w:rsid w:val="00255368"/>
    <w:rsid w:val="002A30DF"/>
    <w:rsid w:val="002D23F0"/>
    <w:rsid w:val="00315E84"/>
    <w:rsid w:val="0032166C"/>
    <w:rsid w:val="00333C56"/>
    <w:rsid w:val="00334E5C"/>
    <w:rsid w:val="0034591F"/>
    <w:rsid w:val="00364129"/>
    <w:rsid w:val="003972CD"/>
    <w:rsid w:val="003C52B4"/>
    <w:rsid w:val="003E0C97"/>
    <w:rsid w:val="004104B3"/>
    <w:rsid w:val="00422873"/>
    <w:rsid w:val="0043053C"/>
    <w:rsid w:val="0045578B"/>
    <w:rsid w:val="004A316B"/>
    <w:rsid w:val="004D7C33"/>
    <w:rsid w:val="00561E9A"/>
    <w:rsid w:val="00576511"/>
    <w:rsid w:val="005833E2"/>
    <w:rsid w:val="005B4F04"/>
    <w:rsid w:val="0065270C"/>
    <w:rsid w:val="006A7FFE"/>
    <w:rsid w:val="006C0CC5"/>
    <w:rsid w:val="006F7848"/>
    <w:rsid w:val="007136D1"/>
    <w:rsid w:val="007900F2"/>
    <w:rsid w:val="0079251A"/>
    <w:rsid w:val="00854355"/>
    <w:rsid w:val="00876644"/>
    <w:rsid w:val="00885846"/>
    <w:rsid w:val="0088685E"/>
    <w:rsid w:val="008B6110"/>
    <w:rsid w:val="008C0A2C"/>
    <w:rsid w:val="008D1772"/>
    <w:rsid w:val="008E12E4"/>
    <w:rsid w:val="008E6AC0"/>
    <w:rsid w:val="0091722E"/>
    <w:rsid w:val="009222D1"/>
    <w:rsid w:val="00923BF4"/>
    <w:rsid w:val="00924014"/>
    <w:rsid w:val="0097261F"/>
    <w:rsid w:val="00981E4A"/>
    <w:rsid w:val="009B0D45"/>
    <w:rsid w:val="009D10C8"/>
    <w:rsid w:val="009D154C"/>
    <w:rsid w:val="00A134EA"/>
    <w:rsid w:val="00A45E1A"/>
    <w:rsid w:val="00A67901"/>
    <w:rsid w:val="00A730AA"/>
    <w:rsid w:val="00A75217"/>
    <w:rsid w:val="00A96A78"/>
    <w:rsid w:val="00A974FC"/>
    <w:rsid w:val="00AA3BE8"/>
    <w:rsid w:val="00AC68D6"/>
    <w:rsid w:val="00AF0A34"/>
    <w:rsid w:val="00B57FAD"/>
    <w:rsid w:val="00B8540B"/>
    <w:rsid w:val="00BA1634"/>
    <w:rsid w:val="00BA3183"/>
    <w:rsid w:val="00BF332A"/>
    <w:rsid w:val="00C24598"/>
    <w:rsid w:val="00C435BE"/>
    <w:rsid w:val="00CD019A"/>
    <w:rsid w:val="00CE20FB"/>
    <w:rsid w:val="00CE7150"/>
    <w:rsid w:val="00CF125D"/>
    <w:rsid w:val="00D038F8"/>
    <w:rsid w:val="00D24998"/>
    <w:rsid w:val="00D54671"/>
    <w:rsid w:val="00D546B1"/>
    <w:rsid w:val="00D9208A"/>
    <w:rsid w:val="00DB7DC4"/>
    <w:rsid w:val="00DE2A96"/>
    <w:rsid w:val="00E022C6"/>
    <w:rsid w:val="00E26C0E"/>
    <w:rsid w:val="00E75D35"/>
    <w:rsid w:val="00EE1AF8"/>
    <w:rsid w:val="00EE1BCE"/>
    <w:rsid w:val="00EE7D87"/>
    <w:rsid w:val="00F37933"/>
    <w:rsid w:val="00FD073B"/>
    <w:rsid w:val="01E07700"/>
    <w:rsid w:val="02114710"/>
    <w:rsid w:val="026063D0"/>
    <w:rsid w:val="02975E55"/>
    <w:rsid w:val="02DF1BD7"/>
    <w:rsid w:val="03231C1A"/>
    <w:rsid w:val="034E3DBB"/>
    <w:rsid w:val="038522FB"/>
    <w:rsid w:val="03FF71FF"/>
    <w:rsid w:val="040D174A"/>
    <w:rsid w:val="05513C6C"/>
    <w:rsid w:val="05875308"/>
    <w:rsid w:val="05A06538"/>
    <w:rsid w:val="05B02A8D"/>
    <w:rsid w:val="07211C63"/>
    <w:rsid w:val="07244EEA"/>
    <w:rsid w:val="079B29D5"/>
    <w:rsid w:val="083815D2"/>
    <w:rsid w:val="096C73A2"/>
    <w:rsid w:val="0A8D6DD4"/>
    <w:rsid w:val="0AAD26BB"/>
    <w:rsid w:val="0AB30C08"/>
    <w:rsid w:val="0ACA6A52"/>
    <w:rsid w:val="0B1E47D0"/>
    <w:rsid w:val="0B7D4237"/>
    <w:rsid w:val="0D665A94"/>
    <w:rsid w:val="0D7D5A4D"/>
    <w:rsid w:val="0DDD349A"/>
    <w:rsid w:val="0DDD741F"/>
    <w:rsid w:val="0E851045"/>
    <w:rsid w:val="0EA659B2"/>
    <w:rsid w:val="0F68275F"/>
    <w:rsid w:val="0F7B6128"/>
    <w:rsid w:val="10560258"/>
    <w:rsid w:val="107E66AF"/>
    <w:rsid w:val="10F94B72"/>
    <w:rsid w:val="113A3AB2"/>
    <w:rsid w:val="114A6898"/>
    <w:rsid w:val="121A5C3E"/>
    <w:rsid w:val="122334F7"/>
    <w:rsid w:val="122D35D7"/>
    <w:rsid w:val="1234262D"/>
    <w:rsid w:val="129D61E8"/>
    <w:rsid w:val="133F6391"/>
    <w:rsid w:val="13906809"/>
    <w:rsid w:val="147D6926"/>
    <w:rsid w:val="14DA6E07"/>
    <w:rsid w:val="15241A72"/>
    <w:rsid w:val="15584CF3"/>
    <w:rsid w:val="16393604"/>
    <w:rsid w:val="16AA0BDF"/>
    <w:rsid w:val="16C31C28"/>
    <w:rsid w:val="16F02A29"/>
    <w:rsid w:val="185724C3"/>
    <w:rsid w:val="18AD593E"/>
    <w:rsid w:val="18BD4944"/>
    <w:rsid w:val="18F64BCF"/>
    <w:rsid w:val="19935639"/>
    <w:rsid w:val="19CD11F3"/>
    <w:rsid w:val="19CF7B28"/>
    <w:rsid w:val="1A7725F1"/>
    <w:rsid w:val="1A950E37"/>
    <w:rsid w:val="1AC968BC"/>
    <w:rsid w:val="1ADC5644"/>
    <w:rsid w:val="1B5271EC"/>
    <w:rsid w:val="1C3D1211"/>
    <w:rsid w:val="1C88256F"/>
    <w:rsid w:val="1C9D43AC"/>
    <w:rsid w:val="1D765AC0"/>
    <w:rsid w:val="1E3459B8"/>
    <w:rsid w:val="1E464974"/>
    <w:rsid w:val="1E57504A"/>
    <w:rsid w:val="1F932A24"/>
    <w:rsid w:val="1FD20438"/>
    <w:rsid w:val="207B66B3"/>
    <w:rsid w:val="20D500D9"/>
    <w:rsid w:val="20F94314"/>
    <w:rsid w:val="21107608"/>
    <w:rsid w:val="21951161"/>
    <w:rsid w:val="21BE6B0D"/>
    <w:rsid w:val="22033982"/>
    <w:rsid w:val="220E23E6"/>
    <w:rsid w:val="223541CC"/>
    <w:rsid w:val="22A63918"/>
    <w:rsid w:val="23576978"/>
    <w:rsid w:val="248222C4"/>
    <w:rsid w:val="24D168CB"/>
    <w:rsid w:val="25402943"/>
    <w:rsid w:val="257E4A5A"/>
    <w:rsid w:val="259F7E84"/>
    <w:rsid w:val="25A85E59"/>
    <w:rsid w:val="274C70CB"/>
    <w:rsid w:val="277275FF"/>
    <w:rsid w:val="27EF2C7E"/>
    <w:rsid w:val="27F304AC"/>
    <w:rsid w:val="28516D09"/>
    <w:rsid w:val="28851357"/>
    <w:rsid w:val="28DC5586"/>
    <w:rsid w:val="28ED66C7"/>
    <w:rsid w:val="29081E10"/>
    <w:rsid w:val="298D53DE"/>
    <w:rsid w:val="29FD3F8F"/>
    <w:rsid w:val="2A550C84"/>
    <w:rsid w:val="2B4F3775"/>
    <w:rsid w:val="2B8167F4"/>
    <w:rsid w:val="2CAB6572"/>
    <w:rsid w:val="2CB45FFF"/>
    <w:rsid w:val="2CB479AD"/>
    <w:rsid w:val="2D282F4C"/>
    <w:rsid w:val="2D63047F"/>
    <w:rsid w:val="2DAA7A4E"/>
    <w:rsid w:val="2DF91A6A"/>
    <w:rsid w:val="2E04116B"/>
    <w:rsid w:val="2E3A0CA4"/>
    <w:rsid w:val="2E7C28D5"/>
    <w:rsid w:val="2E8D2D65"/>
    <w:rsid w:val="2F4D0BB5"/>
    <w:rsid w:val="2FDF58CC"/>
    <w:rsid w:val="314236BD"/>
    <w:rsid w:val="31DB4310"/>
    <w:rsid w:val="32E33D92"/>
    <w:rsid w:val="332533DF"/>
    <w:rsid w:val="332B7490"/>
    <w:rsid w:val="33492641"/>
    <w:rsid w:val="33D10B11"/>
    <w:rsid w:val="33EF2366"/>
    <w:rsid w:val="344C38B0"/>
    <w:rsid w:val="345C4460"/>
    <w:rsid w:val="34661131"/>
    <w:rsid w:val="346E16C0"/>
    <w:rsid w:val="34881A7C"/>
    <w:rsid w:val="34A24FB5"/>
    <w:rsid w:val="34CD2A72"/>
    <w:rsid w:val="34DE755E"/>
    <w:rsid w:val="34FA4DC2"/>
    <w:rsid w:val="34FD2B01"/>
    <w:rsid w:val="3554227B"/>
    <w:rsid w:val="357E5517"/>
    <w:rsid w:val="35C0022C"/>
    <w:rsid w:val="36881635"/>
    <w:rsid w:val="378013EB"/>
    <w:rsid w:val="37C37E80"/>
    <w:rsid w:val="37F866E3"/>
    <w:rsid w:val="384422C7"/>
    <w:rsid w:val="389B0845"/>
    <w:rsid w:val="38E065C6"/>
    <w:rsid w:val="394744BB"/>
    <w:rsid w:val="399D5BA3"/>
    <w:rsid w:val="3A5E3CBE"/>
    <w:rsid w:val="3A7C16A5"/>
    <w:rsid w:val="3A8C25D2"/>
    <w:rsid w:val="3AC71E21"/>
    <w:rsid w:val="3B563370"/>
    <w:rsid w:val="3CDA52CD"/>
    <w:rsid w:val="3D9F3221"/>
    <w:rsid w:val="3DCE485A"/>
    <w:rsid w:val="3DE54F7F"/>
    <w:rsid w:val="3E051487"/>
    <w:rsid w:val="3ECE3E1F"/>
    <w:rsid w:val="3EEF033C"/>
    <w:rsid w:val="3F5341FE"/>
    <w:rsid w:val="3F547DC4"/>
    <w:rsid w:val="3FBE3628"/>
    <w:rsid w:val="3FE97FBE"/>
    <w:rsid w:val="40403587"/>
    <w:rsid w:val="408365FB"/>
    <w:rsid w:val="4092311F"/>
    <w:rsid w:val="40F4229C"/>
    <w:rsid w:val="414746FD"/>
    <w:rsid w:val="415B7C5B"/>
    <w:rsid w:val="416C44F9"/>
    <w:rsid w:val="41764F49"/>
    <w:rsid w:val="4217368E"/>
    <w:rsid w:val="424B0F1C"/>
    <w:rsid w:val="424F527C"/>
    <w:rsid w:val="42CD054E"/>
    <w:rsid w:val="42F30F9F"/>
    <w:rsid w:val="438C79EA"/>
    <w:rsid w:val="440B25A5"/>
    <w:rsid w:val="441176EC"/>
    <w:rsid w:val="44B000D4"/>
    <w:rsid w:val="44E45ADE"/>
    <w:rsid w:val="459B4F7E"/>
    <w:rsid w:val="46AD7FCC"/>
    <w:rsid w:val="4790179A"/>
    <w:rsid w:val="479C2448"/>
    <w:rsid w:val="487D2327"/>
    <w:rsid w:val="48D333B8"/>
    <w:rsid w:val="495053BA"/>
    <w:rsid w:val="49D6477C"/>
    <w:rsid w:val="49FF5AE0"/>
    <w:rsid w:val="4A4D0FAC"/>
    <w:rsid w:val="4A731DB2"/>
    <w:rsid w:val="4AB81CBD"/>
    <w:rsid w:val="4ACC0C03"/>
    <w:rsid w:val="4AE12FA2"/>
    <w:rsid w:val="4BCC51E1"/>
    <w:rsid w:val="4C26098E"/>
    <w:rsid w:val="4C320D82"/>
    <w:rsid w:val="4C4738FC"/>
    <w:rsid w:val="4C753B85"/>
    <w:rsid w:val="4D766A75"/>
    <w:rsid w:val="4D9C02AD"/>
    <w:rsid w:val="4DBB1752"/>
    <w:rsid w:val="4DE6331E"/>
    <w:rsid w:val="4F352A98"/>
    <w:rsid w:val="4F7D50EE"/>
    <w:rsid w:val="4FDE656D"/>
    <w:rsid w:val="509167E7"/>
    <w:rsid w:val="51830DB0"/>
    <w:rsid w:val="51EC31C2"/>
    <w:rsid w:val="52443EA6"/>
    <w:rsid w:val="526108A7"/>
    <w:rsid w:val="5265577C"/>
    <w:rsid w:val="53DD5AB5"/>
    <w:rsid w:val="54055682"/>
    <w:rsid w:val="544C326A"/>
    <w:rsid w:val="554D3CEB"/>
    <w:rsid w:val="55A90FF1"/>
    <w:rsid w:val="55D02D79"/>
    <w:rsid w:val="56113878"/>
    <w:rsid w:val="57F81C76"/>
    <w:rsid w:val="58032FD6"/>
    <w:rsid w:val="58353AA0"/>
    <w:rsid w:val="583A254B"/>
    <w:rsid w:val="58BD703F"/>
    <w:rsid w:val="58C84833"/>
    <w:rsid w:val="590C4189"/>
    <w:rsid w:val="5A305411"/>
    <w:rsid w:val="5B3811D2"/>
    <w:rsid w:val="5B7A2728"/>
    <w:rsid w:val="5BF5015D"/>
    <w:rsid w:val="5C840CC0"/>
    <w:rsid w:val="5D037980"/>
    <w:rsid w:val="5DBC3248"/>
    <w:rsid w:val="5DD26CE9"/>
    <w:rsid w:val="5E4B45FA"/>
    <w:rsid w:val="5E8F47AA"/>
    <w:rsid w:val="5EA879E7"/>
    <w:rsid w:val="5ED10663"/>
    <w:rsid w:val="5EE85056"/>
    <w:rsid w:val="5F093B30"/>
    <w:rsid w:val="5F0D6BFF"/>
    <w:rsid w:val="5F1B3488"/>
    <w:rsid w:val="5FA04D35"/>
    <w:rsid w:val="60502671"/>
    <w:rsid w:val="60CA2299"/>
    <w:rsid w:val="60D21119"/>
    <w:rsid w:val="60D54722"/>
    <w:rsid w:val="623467C4"/>
    <w:rsid w:val="6258677E"/>
    <w:rsid w:val="62810010"/>
    <w:rsid w:val="628A54D9"/>
    <w:rsid w:val="634A07A3"/>
    <w:rsid w:val="6368403D"/>
    <w:rsid w:val="63990999"/>
    <w:rsid w:val="63D261E5"/>
    <w:rsid w:val="640C0814"/>
    <w:rsid w:val="64926BCA"/>
    <w:rsid w:val="649B194D"/>
    <w:rsid w:val="64FA7290"/>
    <w:rsid w:val="657A046B"/>
    <w:rsid w:val="65C467E5"/>
    <w:rsid w:val="65D825C1"/>
    <w:rsid w:val="66E77160"/>
    <w:rsid w:val="67172D8A"/>
    <w:rsid w:val="67544317"/>
    <w:rsid w:val="67872844"/>
    <w:rsid w:val="682D56F6"/>
    <w:rsid w:val="68A63209"/>
    <w:rsid w:val="6A334ED5"/>
    <w:rsid w:val="6AAA2077"/>
    <w:rsid w:val="6ADC3CDC"/>
    <w:rsid w:val="6B2C1CB2"/>
    <w:rsid w:val="6B880C62"/>
    <w:rsid w:val="6BC42FB3"/>
    <w:rsid w:val="6C2B2226"/>
    <w:rsid w:val="6CF40DE6"/>
    <w:rsid w:val="6D426B21"/>
    <w:rsid w:val="6D7451C8"/>
    <w:rsid w:val="6E833B57"/>
    <w:rsid w:val="6EFF72D3"/>
    <w:rsid w:val="6F667FDA"/>
    <w:rsid w:val="6F674CA6"/>
    <w:rsid w:val="6FAE51FE"/>
    <w:rsid w:val="70536FA9"/>
    <w:rsid w:val="70B80970"/>
    <w:rsid w:val="70C76378"/>
    <w:rsid w:val="70DB392B"/>
    <w:rsid w:val="71E04B9A"/>
    <w:rsid w:val="72137709"/>
    <w:rsid w:val="725B1993"/>
    <w:rsid w:val="72C57698"/>
    <w:rsid w:val="72F55295"/>
    <w:rsid w:val="737814C4"/>
    <w:rsid w:val="740337EF"/>
    <w:rsid w:val="743C7237"/>
    <w:rsid w:val="746547B6"/>
    <w:rsid w:val="75005DA1"/>
    <w:rsid w:val="75114952"/>
    <w:rsid w:val="754E29FE"/>
    <w:rsid w:val="75906C53"/>
    <w:rsid w:val="75C346F4"/>
    <w:rsid w:val="75D00B0D"/>
    <w:rsid w:val="75FB3967"/>
    <w:rsid w:val="763E192F"/>
    <w:rsid w:val="773D49F2"/>
    <w:rsid w:val="77DF388C"/>
    <w:rsid w:val="78142F71"/>
    <w:rsid w:val="798C37D7"/>
    <w:rsid w:val="79E72193"/>
    <w:rsid w:val="7A65718C"/>
    <w:rsid w:val="7A942596"/>
    <w:rsid w:val="7A94551C"/>
    <w:rsid w:val="7AF5460A"/>
    <w:rsid w:val="7AFD7CA2"/>
    <w:rsid w:val="7B4E3F9F"/>
    <w:rsid w:val="7B8E304D"/>
    <w:rsid w:val="7B8F58E5"/>
    <w:rsid w:val="7BC75117"/>
    <w:rsid w:val="7BC93D3F"/>
    <w:rsid w:val="7C23124E"/>
    <w:rsid w:val="7C816A99"/>
    <w:rsid w:val="7CBB1745"/>
    <w:rsid w:val="7D02418A"/>
    <w:rsid w:val="7D3527E3"/>
    <w:rsid w:val="7DFD017C"/>
    <w:rsid w:val="7E4933EB"/>
    <w:rsid w:val="7E5D031B"/>
    <w:rsid w:val="7ED2539F"/>
    <w:rsid w:val="7F197FCF"/>
    <w:rsid w:val="7F3F653C"/>
    <w:rsid w:val="7F593736"/>
    <w:rsid w:val="7F704E71"/>
    <w:rsid w:val="7FE172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99" w:semiHidden="0" w:name="HTML Cite"/>
    <w:lsdException w:uiPriority="99" w:name="HTML Code"/>
    <w:lsdException w:qFormat="1" w:unhideWhenUsed="0" w:uiPriority="99" w:semiHidden="0"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2"/>
    <w:qFormat/>
    <w:uiPriority w:val="99"/>
    <w:pPr>
      <w:spacing w:beforeAutospacing="1" w:afterAutospacing="1"/>
      <w:jc w:val="left"/>
      <w:outlineLvl w:val="0"/>
    </w:pPr>
    <w:rPr>
      <w:b/>
      <w:bCs/>
      <w:kern w:val="44"/>
      <w:sz w:val="44"/>
      <w:szCs w:val="44"/>
    </w:rPr>
  </w:style>
  <w:style w:type="paragraph" w:styleId="5">
    <w:name w:val="heading 2"/>
    <w:basedOn w:val="1"/>
    <w:next w:val="1"/>
    <w:unhideWhenUsed/>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41"/>
    <w:qFormat/>
    <w:uiPriority w:val="99"/>
    <w:pPr>
      <w:spacing w:before="100" w:beforeAutospacing="1" w:after="100" w:afterAutospacing="1"/>
      <w:jc w:val="left"/>
      <w:outlineLvl w:val="2"/>
    </w:pPr>
    <w:rPr>
      <w:b/>
      <w:bCs/>
      <w:kern w:val="0"/>
      <w:sz w:val="32"/>
      <w:szCs w:val="32"/>
    </w:rPr>
  </w:style>
  <w:style w:type="character" w:default="1" w:styleId="24">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9"/>
    <w:qFormat/>
    <w:uiPriority w:val="99"/>
    <w:pPr>
      <w:ind w:firstLine="420" w:firstLineChars="100"/>
    </w:pPr>
    <w:rPr>
      <w:bCs/>
    </w:rPr>
  </w:style>
  <w:style w:type="paragraph" w:styleId="3">
    <w:name w:val="Body Text"/>
    <w:basedOn w:val="1"/>
    <w:next w:val="1"/>
    <w:link w:val="43"/>
    <w:qFormat/>
    <w:uiPriority w:val="99"/>
    <w:pPr>
      <w:spacing w:line="360" w:lineRule="auto"/>
    </w:pPr>
    <w:rPr>
      <w:kern w:val="0"/>
      <w:sz w:val="24"/>
    </w:rPr>
  </w:style>
  <w:style w:type="paragraph" w:styleId="7">
    <w:name w:val="Normal Indent"/>
    <w:basedOn w:val="1"/>
    <w:next w:val="1"/>
    <w:qFormat/>
    <w:uiPriority w:val="99"/>
    <w:pPr>
      <w:ind w:firstLine="420"/>
    </w:pPr>
  </w:style>
  <w:style w:type="paragraph" w:styleId="8">
    <w:name w:val="annotation text"/>
    <w:basedOn w:val="1"/>
    <w:link w:val="42"/>
    <w:qFormat/>
    <w:uiPriority w:val="99"/>
    <w:pPr>
      <w:jc w:val="left"/>
    </w:pPr>
    <w:rPr>
      <w:kern w:val="0"/>
      <w:sz w:val="24"/>
    </w:rPr>
  </w:style>
  <w:style w:type="paragraph" w:styleId="9">
    <w:name w:val="Body Text Indent"/>
    <w:basedOn w:val="1"/>
    <w:next w:val="10"/>
    <w:link w:val="44"/>
    <w:qFormat/>
    <w:uiPriority w:val="99"/>
    <w:pPr>
      <w:ind w:left="420"/>
    </w:pPr>
    <w:rPr>
      <w:kern w:val="0"/>
      <w:sz w:val="24"/>
    </w:rPr>
  </w:style>
  <w:style w:type="paragraph" w:styleId="10">
    <w:name w:val="toc 1"/>
    <w:basedOn w:val="1"/>
    <w:next w:val="1"/>
    <w:qFormat/>
    <w:uiPriority w:val="99"/>
    <w:pPr>
      <w:tabs>
        <w:tab w:val="right" w:leader="dot" w:pos="8296"/>
      </w:tabs>
      <w:spacing w:line="480" w:lineRule="exact"/>
      <w:jc w:val="center"/>
    </w:pPr>
    <w:rPr>
      <w:rFonts w:ascii="宋体" w:hAnsi="宋体"/>
      <w:b/>
      <w:sz w:val="30"/>
      <w:szCs w:val="30"/>
    </w:rPr>
  </w:style>
  <w:style w:type="paragraph" w:styleId="11">
    <w:name w:val="Plain Text"/>
    <w:basedOn w:val="1"/>
    <w:link w:val="45"/>
    <w:qFormat/>
    <w:uiPriority w:val="99"/>
    <w:rPr>
      <w:rFonts w:ascii="宋体" w:hAnsi="Courier New"/>
      <w:kern w:val="0"/>
      <w:szCs w:val="21"/>
    </w:rPr>
  </w:style>
  <w:style w:type="paragraph" w:styleId="12">
    <w:name w:val="Date"/>
    <w:basedOn w:val="1"/>
    <w:next w:val="1"/>
    <w:qFormat/>
    <w:uiPriority w:val="0"/>
    <w:rPr>
      <w:sz w:val="28"/>
      <w:szCs w:val="20"/>
    </w:rPr>
  </w:style>
  <w:style w:type="paragraph" w:styleId="13">
    <w:name w:val="Body Text Indent 2"/>
    <w:basedOn w:val="1"/>
    <w:link w:val="46"/>
    <w:qFormat/>
    <w:uiPriority w:val="99"/>
    <w:pPr>
      <w:spacing w:line="360" w:lineRule="auto"/>
      <w:ind w:firstLine="507" w:firstLineChars="200"/>
    </w:pPr>
    <w:rPr>
      <w:kern w:val="0"/>
      <w:sz w:val="24"/>
    </w:rPr>
  </w:style>
  <w:style w:type="paragraph" w:styleId="14">
    <w:name w:val="Balloon Text"/>
    <w:basedOn w:val="1"/>
    <w:link w:val="67"/>
    <w:qFormat/>
    <w:uiPriority w:val="99"/>
    <w:rPr>
      <w:kern w:val="0"/>
      <w:sz w:val="2"/>
      <w:szCs w:val="20"/>
    </w:rPr>
  </w:style>
  <w:style w:type="paragraph" w:styleId="15">
    <w:name w:val="footer"/>
    <w:basedOn w:val="1"/>
    <w:link w:val="47"/>
    <w:qFormat/>
    <w:uiPriority w:val="99"/>
    <w:pPr>
      <w:tabs>
        <w:tab w:val="center" w:pos="4153"/>
        <w:tab w:val="right" w:pos="8306"/>
      </w:tabs>
      <w:snapToGrid w:val="0"/>
      <w:jc w:val="left"/>
    </w:pPr>
    <w:rPr>
      <w:kern w:val="0"/>
      <w:sz w:val="18"/>
      <w:szCs w:val="18"/>
    </w:rPr>
  </w:style>
  <w:style w:type="paragraph" w:styleId="16">
    <w:name w:val="header"/>
    <w:basedOn w:val="1"/>
    <w:next w:val="1"/>
    <w:link w:val="4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2"/>
    <w:basedOn w:val="1"/>
    <w:next w:val="1"/>
    <w:qFormat/>
    <w:uiPriority w:val="99"/>
    <w:pPr>
      <w:ind w:left="420" w:leftChars="200"/>
    </w:pPr>
  </w:style>
  <w:style w:type="paragraph" w:styleId="18">
    <w:name w:val="Normal (Web)"/>
    <w:basedOn w:val="1"/>
    <w:next w:val="1"/>
    <w:qFormat/>
    <w:uiPriority w:val="0"/>
    <w:pPr>
      <w:spacing w:line="300" w:lineRule="auto"/>
    </w:pPr>
    <w:rPr>
      <w:sz w:val="24"/>
    </w:rPr>
  </w:style>
  <w:style w:type="paragraph" w:styleId="19">
    <w:name w:val="Title"/>
    <w:basedOn w:val="1"/>
    <w:next w:val="1"/>
    <w:qFormat/>
    <w:uiPriority w:val="0"/>
    <w:pPr>
      <w:spacing w:line="360" w:lineRule="auto"/>
      <w:jc w:val="center"/>
      <w:outlineLvl w:val="0"/>
    </w:pPr>
    <w:rPr>
      <w:rFonts w:ascii="Cambria" w:hAnsi="Cambria"/>
      <w:b/>
      <w:bCs/>
      <w:kern w:val="0"/>
      <w:sz w:val="32"/>
      <w:szCs w:val="32"/>
    </w:rPr>
  </w:style>
  <w:style w:type="paragraph" w:styleId="20">
    <w:name w:val="Body Text First Indent 2"/>
    <w:basedOn w:val="9"/>
    <w:next w:val="1"/>
    <w:link w:val="50"/>
    <w:qFormat/>
    <w:uiPriority w:val="99"/>
    <w:pPr>
      <w:spacing w:after="120"/>
      <w:ind w:left="200" w:leftChars="200" w:firstLine="420" w:firstLineChars="200"/>
    </w:pPr>
  </w:style>
  <w:style w:type="table" w:styleId="22">
    <w:name w:val="Table Grid"/>
    <w:basedOn w:val="2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qFormat/>
    <w:uiPriority w:val="0"/>
    <w:pPr>
      <w:widowControl w:val="0"/>
      <w:jc w:val="center"/>
    </w:pPr>
    <w:rPr>
      <w:sz w:val="21"/>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FFFFFF"/>
      <w:vAlign w:val="center"/>
    </w:tcPr>
    <w:tblStylePr w:type="firstRow">
      <w:rPr>
        <w:caps/>
        <w:color w:val="auto"/>
      </w:rPr>
      <w:tblPr/>
      <w:tcPr>
        <w:shd w:val="clear" w:color="auto" w:fill="BFBFBF"/>
      </w:tcPr>
    </w:tblStylePr>
    <w:tblStylePr w:type="lastRow">
      <w:tcPr>
        <w:shd w:val="clear" w:color="auto" w:fill="FFFFFF"/>
      </w:tcPr>
    </w:tblStylePr>
    <w:tblStylePr w:type="band1Horz">
      <w:tcPr>
        <w:shd w:val="clear" w:color="auto" w:fill="FFFFFF"/>
      </w:tcPr>
    </w:tblStylePr>
  </w:style>
  <w:style w:type="character" w:styleId="25">
    <w:name w:val="Strong"/>
    <w:basedOn w:val="24"/>
    <w:qFormat/>
    <w:uiPriority w:val="99"/>
    <w:rPr>
      <w:rFonts w:cs="Times New Roman"/>
      <w:b/>
    </w:rPr>
  </w:style>
  <w:style w:type="character" w:styleId="26">
    <w:name w:val="page number"/>
    <w:qFormat/>
    <w:uiPriority w:val="99"/>
    <w:rPr>
      <w:rFonts w:cs="Times New Roman"/>
    </w:rPr>
  </w:style>
  <w:style w:type="character" w:styleId="27">
    <w:name w:val="FollowedHyperlink"/>
    <w:qFormat/>
    <w:uiPriority w:val="99"/>
    <w:rPr>
      <w:rFonts w:cs="Times New Roman"/>
      <w:color w:val="3366CC"/>
      <w:u w:val="none"/>
    </w:rPr>
  </w:style>
  <w:style w:type="character" w:styleId="28">
    <w:name w:val="Emphasis"/>
    <w:qFormat/>
    <w:uiPriority w:val="99"/>
    <w:rPr>
      <w:rFonts w:cs="Times New Roman"/>
      <w:color w:val="CC0000"/>
    </w:rPr>
  </w:style>
  <w:style w:type="character" w:styleId="29">
    <w:name w:val="HTML Definition"/>
    <w:qFormat/>
    <w:uiPriority w:val="99"/>
    <w:rPr>
      <w:rFonts w:cs="Times New Roman"/>
      <w:i/>
    </w:rPr>
  </w:style>
  <w:style w:type="character" w:styleId="30">
    <w:name w:val="Hyperlink"/>
    <w:qFormat/>
    <w:uiPriority w:val="99"/>
    <w:rPr>
      <w:rFonts w:cs="Times New Roman"/>
      <w:color w:val="000000"/>
      <w:u w:val="none"/>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color w:val="008000"/>
    </w:rPr>
  </w:style>
  <w:style w:type="paragraph" w:customStyle="1" w:styleId="33">
    <w:name w:val="样式 首行缩进:  2 字符"/>
    <w:basedOn w:val="1"/>
    <w:qFormat/>
    <w:uiPriority w:val="0"/>
    <w:pPr>
      <w:ind w:firstLine="560"/>
    </w:pPr>
    <w:rPr>
      <w:rFonts w:eastAsia="仿宋_GB2312" w:cs="宋体"/>
      <w:sz w:val="24"/>
    </w:rPr>
  </w:style>
  <w:style w:type="paragraph" w:customStyle="1" w:styleId="34">
    <w:name w:val="表格文字"/>
    <w:basedOn w:val="1"/>
    <w:next w:val="3"/>
    <w:qFormat/>
    <w:uiPriority w:val="99"/>
    <w:pPr>
      <w:adjustRightInd w:val="0"/>
      <w:spacing w:line="420" w:lineRule="atLeast"/>
      <w:jc w:val="left"/>
      <w:textAlignment w:val="baseline"/>
    </w:pPr>
    <w:rPr>
      <w:kern w:val="0"/>
      <w:szCs w:val="20"/>
    </w:rPr>
  </w:style>
  <w:style w:type="paragraph" w:customStyle="1" w:styleId="35">
    <w:name w:val="_Style 2"/>
    <w:basedOn w:val="1"/>
    <w:next w:val="1"/>
    <w:qFormat/>
    <w:uiPriority w:val="99"/>
    <w:pPr>
      <w:ind w:firstLine="420"/>
    </w:pPr>
    <w:rPr>
      <w:rFonts w:ascii="Cambria" w:hAnsi="Cambria"/>
    </w:rPr>
  </w:style>
  <w:style w:type="paragraph" w:customStyle="1" w:styleId="36">
    <w:name w:val="Char1"/>
    <w:basedOn w:val="1"/>
    <w:qFormat/>
    <w:uiPriority w:val="0"/>
    <w:pPr>
      <w:widowControl/>
      <w:suppressAutoHyphens/>
      <w:spacing w:after="160" w:line="240" w:lineRule="exact"/>
      <w:jc w:val="left"/>
    </w:pPr>
    <w:rPr>
      <w:rFonts w:ascii="Verdana" w:hAnsi="Verdana" w:eastAsia="Times New Roman"/>
      <w:kern w:val="0"/>
      <w:sz w:val="20"/>
      <w:szCs w:val="20"/>
      <w:lang w:eastAsia="en-US"/>
    </w:rPr>
  </w:style>
  <w:style w:type="paragraph" w:customStyle="1" w:styleId="37">
    <w:name w:val="Char"/>
    <w:basedOn w:val="1"/>
    <w:qFormat/>
    <w:uiPriority w:val="0"/>
    <w:rPr>
      <w:rFonts w:ascii="Tahoma" w:hAnsi="Tahoma"/>
      <w:sz w:val="24"/>
      <w:szCs w:val="20"/>
    </w:rPr>
  </w:style>
  <w:style w:type="paragraph" w:customStyle="1" w:styleId="38">
    <w:name w:val="_Style 3"/>
    <w:basedOn w:val="1"/>
    <w:qFormat/>
    <w:uiPriority w:val="0"/>
    <w:pPr>
      <w:spacing w:line="240" w:lineRule="atLeast"/>
      <w:ind w:left="420" w:firstLine="420"/>
    </w:pPr>
    <w:rPr>
      <w:rFonts w:ascii="Calibri" w:hAnsi="Calibri"/>
    </w:rPr>
  </w:style>
  <w:style w:type="paragraph" w:customStyle="1" w:styleId="39">
    <w:name w:val="Fließtext"/>
    <w:basedOn w:val="1"/>
    <w:qFormat/>
    <w:uiPriority w:val="0"/>
    <w:pPr>
      <w:overflowPunct w:val="0"/>
      <w:autoSpaceDE w:val="0"/>
      <w:autoSpaceDN w:val="0"/>
      <w:adjustRightInd w:val="0"/>
      <w:textAlignment w:val="baseline"/>
    </w:pPr>
    <w:rPr>
      <w:kern w:val="28"/>
      <w:szCs w:val="20"/>
    </w:rPr>
  </w:style>
  <w:style w:type="character" w:customStyle="1" w:styleId="40">
    <w:name w:val="标题 1 字符"/>
    <w:qFormat/>
    <w:uiPriority w:val="99"/>
    <w:rPr>
      <w:rFonts w:cs="Times New Roman"/>
      <w:b/>
      <w:bCs/>
      <w:kern w:val="44"/>
      <w:sz w:val="44"/>
      <w:szCs w:val="44"/>
    </w:rPr>
  </w:style>
  <w:style w:type="character" w:customStyle="1" w:styleId="41">
    <w:name w:val="标题 3 字符"/>
    <w:link w:val="6"/>
    <w:qFormat/>
    <w:uiPriority w:val="99"/>
    <w:rPr>
      <w:rFonts w:cs="Times New Roman"/>
      <w:b/>
      <w:bCs/>
      <w:sz w:val="32"/>
      <w:szCs w:val="32"/>
    </w:rPr>
  </w:style>
  <w:style w:type="character" w:customStyle="1" w:styleId="42">
    <w:name w:val="批注文字 字符"/>
    <w:link w:val="8"/>
    <w:qFormat/>
    <w:uiPriority w:val="99"/>
    <w:rPr>
      <w:rFonts w:cs="Times New Roman"/>
      <w:sz w:val="24"/>
      <w:szCs w:val="24"/>
    </w:rPr>
  </w:style>
  <w:style w:type="character" w:customStyle="1" w:styleId="43">
    <w:name w:val="正文文本 字符"/>
    <w:link w:val="3"/>
    <w:qFormat/>
    <w:uiPriority w:val="99"/>
    <w:rPr>
      <w:rFonts w:cs="Times New Roman"/>
      <w:sz w:val="24"/>
      <w:szCs w:val="24"/>
    </w:rPr>
  </w:style>
  <w:style w:type="character" w:customStyle="1" w:styleId="44">
    <w:name w:val="正文文本缩进 字符"/>
    <w:link w:val="9"/>
    <w:qFormat/>
    <w:uiPriority w:val="99"/>
    <w:rPr>
      <w:rFonts w:cs="Times New Roman"/>
      <w:sz w:val="24"/>
      <w:szCs w:val="24"/>
    </w:rPr>
  </w:style>
  <w:style w:type="character" w:customStyle="1" w:styleId="45">
    <w:name w:val="纯文本 字符"/>
    <w:link w:val="11"/>
    <w:qFormat/>
    <w:uiPriority w:val="99"/>
    <w:rPr>
      <w:rFonts w:ascii="宋体" w:hAnsi="Courier New" w:cs="Courier New"/>
      <w:sz w:val="21"/>
      <w:szCs w:val="21"/>
    </w:rPr>
  </w:style>
  <w:style w:type="character" w:customStyle="1" w:styleId="46">
    <w:name w:val="正文文本缩进 2 字符"/>
    <w:link w:val="13"/>
    <w:qFormat/>
    <w:uiPriority w:val="99"/>
    <w:rPr>
      <w:rFonts w:cs="Times New Roman"/>
      <w:sz w:val="24"/>
      <w:szCs w:val="24"/>
    </w:rPr>
  </w:style>
  <w:style w:type="character" w:customStyle="1" w:styleId="47">
    <w:name w:val="页脚 字符"/>
    <w:link w:val="15"/>
    <w:qFormat/>
    <w:uiPriority w:val="99"/>
    <w:rPr>
      <w:rFonts w:cs="Times New Roman"/>
      <w:sz w:val="18"/>
      <w:szCs w:val="18"/>
    </w:rPr>
  </w:style>
  <w:style w:type="character" w:customStyle="1" w:styleId="48">
    <w:name w:val="页眉 字符"/>
    <w:link w:val="16"/>
    <w:qFormat/>
    <w:uiPriority w:val="99"/>
    <w:rPr>
      <w:rFonts w:cs="Times New Roman"/>
      <w:sz w:val="18"/>
      <w:szCs w:val="18"/>
    </w:rPr>
  </w:style>
  <w:style w:type="character" w:customStyle="1" w:styleId="49">
    <w:name w:val="正文文本首行缩进 字符"/>
    <w:link w:val="2"/>
    <w:qFormat/>
    <w:uiPriority w:val="99"/>
    <w:rPr>
      <w:rFonts w:cs="Times New Roman"/>
      <w:sz w:val="24"/>
      <w:szCs w:val="24"/>
    </w:rPr>
  </w:style>
  <w:style w:type="character" w:customStyle="1" w:styleId="50">
    <w:name w:val="正文文本首行缩进 2 字符"/>
    <w:link w:val="20"/>
    <w:qFormat/>
    <w:uiPriority w:val="99"/>
    <w:rPr>
      <w:rFonts w:cs="Times New Roman"/>
      <w:sz w:val="24"/>
      <w:szCs w:val="24"/>
    </w:rPr>
  </w:style>
  <w:style w:type="paragraph" w:customStyle="1" w:styleId="51">
    <w:name w:val="Char Char Char Char"/>
    <w:basedOn w:val="1"/>
    <w:qFormat/>
    <w:uiPriority w:val="99"/>
    <w:rPr>
      <w:rFonts w:ascii="Tahoma" w:hAnsi="Tahoma"/>
      <w:sz w:val="24"/>
      <w:szCs w:val="20"/>
    </w:rPr>
  </w:style>
  <w:style w:type="paragraph" w:customStyle="1" w:styleId="52">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53">
    <w:name w:val="样式3"/>
    <w:basedOn w:val="11"/>
    <w:qFormat/>
    <w:uiPriority w:val="99"/>
    <w:pPr>
      <w:spacing w:line="240" w:lineRule="atLeast"/>
      <w:outlineLvl w:val="0"/>
    </w:pPr>
    <w:rPr>
      <w:sz w:val="28"/>
      <w:szCs w:val="20"/>
    </w:rPr>
  </w:style>
  <w:style w:type="paragraph" w:customStyle="1" w:styleId="54">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5">
    <w:name w:val="c-icon"/>
    <w:qFormat/>
    <w:uiPriority w:val="99"/>
    <w:rPr>
      <w:rFonts w:cs="Times New Roman"/>
    </w:rPr>
  </w:style>
  <w:style w:type="character" w:customStyle="1" w:styleId="56">
    <w:name w:val="input_span1"/>
    <w:qFormat/>
    <w:uiPriority w:val="99"/>
    <w:rPr>
      <w:rFonts w:cs="Times New Roman"/>
      <w:bdr w:val="single" w:color="9B9B9B" w:sz="6" w:space="0"/>
    </w:rPr>
  </w:style>
  <w:style w:type="character" w:customStyle="1" w:styleId="57">
    <w:name w:val="col3"/>
    <w:qFormat/>
    <w:uiPriority w:val="99"/>
    <w:rPr>
      <w:rFonts w:cs="Times New Roman"/>
    </w:rPr>
  </w:style>
  <w:style w:type="character" w:customStyle="1" w:styleId="58">
    <w:name w:val="inputhighlight"/>
    <w:qFormat/>
    <w:uiPriority w:val="99"/>
    <w:rPr>
      <w:rFonts w:cs="Times New Roman"/>
    </w:rPr>
  </w:style>
  <w:style w:type="character" w:customStyle="1" w:styleId="59">
    <w:name w:val="col1"/>
    <w:qFormat/>
    <w:uiPriority w:val="99"/>
    <w:rPr>
      <w:rFonts w:cs="Times New Roman"/>
    </w:rPr>
  </w:style>
  <w:style w:type="character" w:customStyle="1" w:styleId="60">
    <w:name w:val="remainvalue"/>
    <w:qFormat/>
    <w:uiPriority w:val="99"/>
    <w:rPr>
      <w:rFonts w:ascii="微软雅黑" w:hAnsi="微软雅黑" w:eastAsia="微软雅黑" w:cs="微软雅黑"/>
      <w:b/>
      <w:color w:val="FF0000"/>
      <w:sz w:val="30"/>
      <w:szCs w:val="30"/>
    </w:rPr>
  </w:style>
  <w:style w:type="character" w:customStyle="1" w:styleId="61">
    <w:name w:val="gjfg"/>
    <w:qFormat/>
    <w:uiPriority w:val="99"/>
    <w:rPr>
      <w:rFonts w:cs="Times New Roman"/>
    </w:rPr>
  </w:style>
  <w:style w:type="character" w:customStyle="1" w:styleId="62">
    <w:name w:val="redfilefwwh"/>
    <w:qFormat/>
    <w:uiPriority w:val="99"/>
    <w:rPr>
      <w:rFonts w:cs="Times New Roman"/>
      <w:color w:val="BA2636"/>
      <w:sz w:val="18"/>
      <w:szCs w:val="18"/>
    </w:rPr>
  </w:style>
  <w:style w:type="character" w:customStyle="1" w:styleId="63">
    <w:name w:val="redfilenumber"/>
    <w:qFormat/>
    <w:uiPriority w:val="99"/>
    <w:rPr>
      <w:rFonts w:cs="Times New Roman"/>
      <w:color w:val="BA2636"/>
      <w:sz w:val="18"/>
      <w:szCs w:val="18"/>
    </w:rPr>
  </w:style>
  <w:style w:type="character" w:customStyle="1" w:styleId="64">
    <w:name w:val="qxdate"/>
    <w:qFormat/>
    <w:uiPriority w:val="99"/>
    <w:rPr>
      <w:rFonts w:cs="Times New Roman"/>
      <w:color w:val="333333"/>
      <w:sz w:val="18"/>
      <w:szCs w:val="18"/>
    </w:rPr>
  </w:style>
  <w:style w:type="character" w:customStyle="1" w:styleId="65">
    <w:name w:val="displayarti"/>
    <w:qFormat/>
    <w:uiPriority w:val="99"/>
    <w:rPr>
      <w:rFonts w:cs="Times New Roman"/>
      <w:color w:val="FFFFFF"/>
      <w:shd w:val="clear" w:color="auto" w:fill="A00000"/>
    </w:rPr>
  </w:style>
  <w:style w:type="character" w:customStyle="1" w:styleId="66">
    <w:name w:val="cfdate"/>
    <w:qFormat/>
    <w:uiPriority w:val="99"/>
    <w:rPr>
      <w:rFonts w:cs="Times New Roman"/>
      <w:color w:val="333333"/>
      <w:sz w:val="18"/>
      <w:szCs w:val="18"/>
    </w:rPr>
  </w:style>
  <w:style w:type="character" w:customStyle="1" w:styleId="67">
    <w:name w:val="批注框文本 字符"/>
    <w:link w:val="14"/>
    <w:qFormat/>
    <w:uiPriority w:val="99"/>
    <w:rPr>
      <w:rFonts w:cs="Times New Roman"/>
      <w:sz w:val="2"/>
    </w:rPr>
  </w:style>
  <w:style w:type="paragraph" w:customStyle="1" w:styleId="68">
    <w:name w:val="1正文-lcx"/>
    <w:basedOn w:val="1"/>
    <w:qFormat/>
    <w:uiPriority w:val="0"/>
    <w:pPr>
      <w:spacing w:line="480" w:lineRule="exact"/>
      <w:ind w:firstLine="200"/>
    </w:pPr>
    <w:rPr>
      <w:sz w:val="28"/>
      <w:szCs w:val="28"/>
    </w:rPr>
  </w:style>
  <w:style w:type="paragraph" w:customStyle="1" w:styleId="69">
    <w:name w:val="列出段落1"/>
    <w:basedOn w:val="1"/>
    <w:qFormat/>
    <w:uiPriority w:val="0"/>
    <w:pPr>
      <w:ind w:firstLine="420" w:firstLineChars="200"/>
    </w:pPr>
  </w:style>
  <w:style w:type="paragraph" w:styleId="70">
    <w:name w:val="No Spacing"/>
    <w:qFormat/>
    <w:uiPriority w:val="1"/>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Times New Roman" w:hAnsi="Times New Roman" w:eastAsia="宋体" w:cs="Times New Roman"/>
      <w:kern w:val="1"/>
      <w:sz w:val="21"/>
      <w:lang w:val="en-US" w:eastAsia="zh-CN" w:bidi="ar-SA"/>
    </w:rPr>
  </w:style>
  <w:style w:type="paragraph" w:customStyle="1" w:styleId="71">
    <w:name w:val="纯文本2"/>
    <w:basedOn w:val="1"/>
    <w:qFormat/>
    <w:uiPriority w:val="0"/>
    <w:rPr>
      <w:rFonts w:ascii="宋体" w:hAnsi="Courier New" w:cs="Courier New"/>
      <w:szCs w:val="21"/>
    </w:rPr>
  </w:style>
  <w:style w:type="character" w:customStyle="1" w:styleId="72">
    <w:name w:val="标题 1 字符1"/>
    <w:basedOn w:val="24"/>
    <w:link w:val="4"/>
    <w:qFormat/>
    <w:uiPriority w:val="0"/>
    <w:rPr>
      <w:rFonts w:hint="default" w:ascii="Times New Roman" w:hAnsi="Times New Roman" w:eastAsia="宋体" w:cs="Times New Roman"/>
      <w:b/>
      <w:kern w:val="44"/>
      <w:sz w:val="44"/>
      <w:szCs w:val="44"/>
    </w:rPr>
  </w:style>
  <w:style w:type="character" w:customStyle="1" w:styleId="73">
    <w:name w:val="15"/>
    <w:basedOn w:val="24"/>
    <w:qFormat/>
    <w:uiPriority w:val="0"/>
    <w:rPr>
      <w:rFonts w:hint="default" w:ascii="Times New Roman" w:hAnsi="Times New Roman" w:cs="Times New Roman"/>
    </w:rPr>
  </w:style>
  <w:style w:type="paragraph" w:customStyle="1" w:styleId="74">
    <w:name w:val="正文首缩两字"/>
    <w:basedOn w:val="1"/>
    <w:qFormat/>
    <w:uiPriority w:val="0"/>
    <w:pPr>
      <w:spacing w:line="360" w:lineRule="auto"/>
      <w:ind w:firstLine="200" w:firstLineChars="200"/>
    </w:pPr>
    <w:rPr>
      <w:rFonts w:ascii="Verdana" w:hAnsi="Verdana"/>
      <w:sz w:val="24"/>
    </w:rPr>
  </w:style>
  <w:style w:type="character" w:customStyle="1" w:styleId="75">
    <w:name w:val="font31"/>
    <w:basedOn w:val="24"/>
    <w:qFormat/>
    <w:uiPriority w:val="0"/>
    <w:rPr>
      <w:rFonts w:hint="eastAsia" w:ascii="宋体" w:hAnsi="宋体" w:eastAsia="宋体" w:cs="宋体"/>
      <w:color w:val="FF0000"/>
      <w:sz w:val="24"/>
      <w:szCs w:val="24"/>
      <w:u w:val="none"/>
    </w:rPr>
  </w:style>
  <w:style w:type="character" w:customStyle="1" w:styleId="76">
    <w:name w:val="font41"/>
    <w:basedOn w:val="24"/>
    <w:qFormat/>
    <w:uiPriority w:val="0"/>
    <w:rPr>
      <w:rFonts w:hint="default" w:ascii="Times New Roman" w:hAnsi="Times New Roman" w:cs="Times New Roman"/>
      <w:color w:val="FF0000"/>
      <w:sz w:val="24"/>
      <w:szCs w:val="24"/>
      <w:u w:val="none"/>
    </w:rPr>
  </w:style>
  <w:style w:type="character" w:customStyle="1" w:styleId="77">
    <w:name w:val="font111"/>
    <w:basedOn w:val="24"/>
    <w:qFormat/>
    <w:uiPriority w:val="0"/>
    <w:rPr>
      <w:rFonts w:hint="default" w:ascii="等线" w:hAnsi="等线" w:eastAsia="等线" w:cs="等线"/>
      <w:color w:val="FF0000"/>
      <w:sz w:val="24"/>
      <w:szCs w:val="24"/>
      <w:u w:val="none"/>
    </w:rPr>
  </w:style>
  <w:style w:type="character" w:customStyle="1" w:styleId="78">
    <w:name w:val="+正文 Char Char4"/>
    <w:qFormat/>
    <w:uiPriority w:val="0"/>
    <w:rPr>
      <w:rFonts w:eastAsia="宋体"/>
      <w:kern w:val="2"/>
      <w:sz w:val="24"/>
      <w:szCs w:val="24"/>
      <w:lang w:val="en-US" w:eastAsia="zh-CN" w:bidi="ar-SA"/>
    </w:rPr>
  </w:style>
  <w:style w:type="paragraph" w:customStyle="1" w:styleId="79">
    <w:name w:val="zz正文"/>
    <w:basedOn w:val="1"/>
    <w:qFormat/>
    <w:uiPriority w:val="0"/>
    <w:pPr>
      <w:adjustRightInd w:val="0"/>
      <w:snapToGrid w:val="0"/>
      <w:ind w:firstLine="200" w:firstLineChars="200"/>
      <w:textAlignment w:val="center"/>
    </w:pPr>
    <w:rPr>
      <w:rFonts w:cs="宋体"/>
      <w:szCs w:val="20"/>
    </w:rPr>
  </w:style>
  <w:style w:type="paragraph" w:customStyle="1" w:styleId="80">
    <w:name w:val="+正文"/>
    <w:basedOn w:val="1"/>
    <w:qFormat/>
    <w:uiPriority w:val="0"/>
    <w:pPr>
      <w:ind w:firstLine="200" w:firstLineChars="200"/>
    </w:pPr>
    <w:rPr>
      <w:szCs w:val="28"/>
    </w:rPr>
  </w:style>
  <w:style w:type="paragraph" w:customStyle="1" w:styleId="81">
    <w:name w:val="彩色列表1"/>
    <w:basedOn w:val="1"/>
    <w:qFormat/>
    <w:uiPriority w:val="34"/>
    <w:pPr>
      <w:ind w:firstLine="420" w:firstLineChars="200"/>
    </w:pPr>
  </w:style>
  <w:style w:type="character" w:customStyle="1" w:styleId="82">
    <w:name w:val="font61"/>
    <w:basedOn w:val="24"/>
    <w:qFormat/>
    <w:uiPriority w:val="0"/>
    <w:rPr>
      <w:rFonts w:hint="eastAsia" w:ascii="宋体" w:hAnsi="宋体" w:eastAsia="宋体" w:cs="宋体"/>
      <w:color w:val="auto"/>
      <w:sz w:val="16"/>
      <w:szCs w:val="16"/>
      <w:u w:val="none"/>
    </w:rPr>
  </w:style>
  <w:style w:type="paragraph" w:customStyle="1" w:styleId="83">
    <w:name w:val="Char Char1 Char Char Char"/>
    <w:basedOn w:val="1"/>
    <w:qFormat/>
    <w:uiPriority w:val="0"/>
    <w:rPr>
      <w:kern w:val="0"/>
      <w:sz w:val="20"/>
      <w:szCs w:val="20"/>
    </w:rPr>
  </w:style>
  <w:style w:type="paragraph" w:customStyle="1" w:styleId="84">
    <w:name w:val="Other|1"/>
    <w:basedOn w:val="1"/>
    <w:qFormat/>
    <w:uiPriority w:val="0"/>
    <w:pPr>
      <w:spacing w:line="480" w:lineRule="auto"/>
      <w:ind w:firstLine="160"/>
    </w:pPr>
    <w:rPr>
      <w:rFonts w:ascii="宋体" w:hAnsi="宋体" w:cs="宋体"/>
      <w:sz w:val="20"/>
      <w:szCs w:val="20"/>
      <w:lang w:val="zh-TW" w:eastAsia="zh-TW" w:bidi="zh-TW"/>
    </w:rPr>
  </w:style>
  <w:style w:type="paragraph" w:customStyle="1" w:styleId="85">
    <w:name w:val="Heading #3|1"/>
    <w:basedOn w:val="1"/>
    <w:qFormat/>
    <w:uiPriority w:val="0"/>
    <w:pPr>
      <w:spacing w:after="100"/>
      <w:outlineLvl w:val="2"/>
    </w:pPr>
    <w:rPr>
      <w:rFonts w:ascii="宋体" w:hAnsi="宋体" w:cs="宋体"/>
      <w:lang w:val="zh-TW" w:eastAsia="zh-TW" w:bidi="zh-TW"/>
    </w:rPr>
  </w:style>
  <w:style w:type="paragraph" w:customStyle="1" w:styleId="86">
    <w:name w:val="Body text|1"/>
    <w:basedOn w:val="1"/>
    <w:qFormat/>
    <w:uiPriority w:val="0"/>
    <w:pPr>
      <w:spacing w:line="480" w:lineRule="auto"/>
      <w:ind w:firstLine="160"/>
    </w:pPr>
    <w:rPr>
      <w:rFonts w:ascii="宋体" w:hAnsi="宋体" w:cs="宋体"/>
      <w:sz w:val="20"/>
      <w:szCs w:val="20"/>
      <w:lang w:val="zh-TW" w:eastAsia="zh-TW" w:bidi="zh-TW"/>
    </w:rPr>
  </w:style>
  <w:style w:type="paragraph" w:customStyle="1" w:styleId="87">
    <w:name w:val="cucd-TB"/>
    <w:qFormat/>
    <w:uiPriority w:val="0"/>
    <w:pPr>
      <w:spacing w:line="360" w:lineRule="auto"/>
      <w:jc w:val="center"/>
    </w:pPr>
    <w:rPr>
      <w:rFonts w:ascii="Times New Roman" w:hAnsi="Times New Roman" w:eastAsia="宋体" w:cs="Times New Roman"/>
      <w:kern w:val="2"/>
      <w:sz w:val="21"/>
      <w:szCs w:val="24"/>
      <w:lang w:val="en-US" w:eastAsia="zh-CN" w:bidi="ar-SA"/>
    </w:rPr>
  </w:style>
  <w:style w:type="paragraph" w:customStyle="1" w:styleId="88">
    <w:name w:val="文本"/>
    <w:qFormat/>
    <w:uiPriority w:val="0"/>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table" w:customStyle="1" w:styleId="89">
    <w:name w:val="网格型1"/>
    <w:basedOn w:val="21"/>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NormalCharacter"/>
    <w:qFormat/>
    <w:uiPriority w:val="0"/>
    <w:rPr>
      <w:kern w:val="2"/>
      <w:sz w:val="21"/>
      <w:szCs w:val="24"/>
      <w:lang w:val="en-US" w:eastAsia="zh-CN" w:bidi="ar-SA"/>
    </w:rPr>
  </w:style>
  <w:style w:type="paragraph" w:customStyle="1" w:styleId="91">
    <w:name w:val="文档正文"/>
    <w:basedOn w:val="1"/>
    <w:qFormat/>
    <w:uiPriority w:val="0"/>
    <w:pPr>
      <w:adjustRightInd w:val="0"/>
      <w:spacing w:afterLines="100" w:line="360" w:lineRule="auto"/>
      <w:ind w:firstLine="567"/>
      <w:textAlignment w:val="baseline"/>
    </w:pPr>
    <w:rPr>
      <w:rFonts w:ascii="Arial" w:hAnsi="Arial"/>
      <w:kern w:val="0"/>
      <w:sz w:val="24"/>
      <w:szCs w:val="20"/>
    </w:rPr>
  </w:style>
  <w:style w:type="paragraph" w:customStyle="1" w:styleId="92">
    <w:name w:val="Normal Indent1"/>
    <w:basedOn w:val="1"/>
    <w:qFormat/>
    <w:uiPriority w:val="0"/>
    <w:pPr>
      <w:ind w:firstLine="420" w:firstLineChars="200"/>
    </w:pPr>
  </w:style>
  <w:style w:type="paragraph" w:styleId="93">
    <w:name w:val="List Paragraph"/>
    <w:basedOn w:val="1"/>
    <w:unhideWhenUsed/>
    <w:qFormat/>
    <w:uiPriority w:val="99"/>
    <w:pPr>
      <w:ind w:firstLine="420" w:firstLineChars="200"/>
    </w:pPr>
  </w:style>
  <w:style w:type="paragraph" w:customStyle="1" w:styleId="94">
    <w:name w:val="Table Paragraph"/>
    <w:basedOn w:val="1"/>
    <w:qFormat/>
    <w:uiPriority w:val="1"/>
    <w:pPr>
      <w:autoSpaceDE w:val="0"/>
      <w:autoSpaceDN w:val="0"/>
      <w:jc w:val="left"/>
    </w:pPr>
    <w:rPr>
      <w:rFonts w:ascii="宋体" w:hAnsi="宋体" w:cs="宋体"/>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16BB-FD4B-46E2-96EE-20B9A77E1F7E}">
  <ds:schemaRefs/>
</ds:datastoreItem>
</file>

<file path=docProps/app.xml><?xml version="1.0" encoding="utf-8"?>
<Properties xmlns="http://schemas.openxmlformats.org/officeDocument/2006/extended-properties" xmlns:vt="http://schemas.openxmlformats.org/officeDocument/2006/docPropsVTypes">
  <Template>Normal</Template>
  <Pages>89</Pages>
  <Words>48530</Words>
  <Characters>50039</Characters>
  <Lines>387</Lines>
  <Paragraphs>108</Paragraphs>
  <TotalTime>11</TotalTime>
  <ScaleCrop>false</ScaleCrop>
  <LinksUpToDate>false</LinksUpToDate>
  <CharactersWithSpaces>52162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2022-10-17T03:53:00Z</dcterms:created>
  <dc:creator>pc</dc:creator>
  <cp:lastModifiedBy>CLZ</cp:lastModifiedBy>
  <cp:lastPrinted>2022-05-31T01:31:00Z</cp:lastPrinted>
  <dcterms:modified xsi:type="dcterms:W3CDTF">2022-10-21T01:57:42Z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B2C6A04315B74961A06A909C7186FE94</vt:lpwstr>
  </property>
</Properties>
</file>