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3"/>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 xml:space="preserve"> 本招标文件经招标人审核确认，同意发布。</w:t>
      </w:r>
    </w:p>
    <w:p>
      <w:pPr>
        <w:spacing w:line="460" w:lineRule="exact"/>
        <w:jc w:val="righ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p>
    <w:p>
      <w:pPr>
        <w:spacing w:line="360" w:lineRule="auto"/>
        <w:ind w:firstLine="3781" w:firstLineChars="1345"/>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采购人盖章及签字：</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p>
    <w:p>
      <w:pPr>
        <w:spacing w:line="360" w:lineRule="auto"/>
        <w:ind w:firstLine="3781" w:firstLineChars="1345"/>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日期：</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84"/>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84"/>
          <w14:textFill>
            <w14:solidFill>
              <w14:schemeClr w14:val="tx1"/>
            </w14:solidFill>
          </w14:textFill>
        </w:rPr>
      </w:pPr>
      <w:r>
        <w:rPr>
          <w:rFonts w:hint="eastAsia" w:asciiTheme="minorEastAsia" w:hAnsiTheme="minorEastAsia" w:eastAsiaTheme="minorEastAsia" w:cstheme="minorEastAsia"/>
          <w:b/>
          <w:bCs/>
          <w:color w:val="000000" w:themeColor="text1"/>
          <w:sz w:val="84"/>
          <w14:textFill>
            <w14:solidFill>
              <w14:schemeClr w14:val="tx1"/>
            </w14:solidFill>
          </w14:textFill>
        </w:rPr>
        <w:t>公开招标文件</w:t>
      </w:r>
    </w:p>
    <w:p>
      <w:pPr>
        <w:pStyle w:val="19"/>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9"/>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9"/>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p>
    <w:p>
      <w:pPr>
        <w:pStyle w:val="19"/>
        <w:spacing w:line="480" w:lineRule="auto"/>
        <w:jc w:val="center"/>
        <w:rPr>
          <w:rFonts w:hint="default" w:eastAsia="宋体" w:asciiTheme="minorEastAsia" w:hAnsiTheme="minorEastAsia" w:cstheme="minorEastAsia"/>
          <w:b/>
          <w:bCs/>
          <w:color w:val="000000" w:themeColor="text1"/>
          <w:sz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项目编号：</w:t>
      </w:r>
      <w:r>
        <w:rPr>
          <w:rFonts w:hint="eastAsia" w:ascii="宋体" w:hAnsi="宋体"/>
          <w:b/>
          <w:color w:val="000000"/>
          <w:sz w:val="32"/>
          <w:szCs w:val="32"/>
        </w:rPr>
        <w:t>PTXX20200</w:t>
      </w:r>
      <w:r>
        <w:rPr>
          <w:rFonts w:hint="eastAsia" w:hAnsi="宋体"/>
          <w:b/>
          <w:color w:val="000000"/>
          <w:sz w:val="32"/>
          <w:szCs w:val="32"/>
          <w:lang w:val="en-US" w:eastAsia="zh-CN"/>
        </w:rPr>
        <w:t>12</w:t>
      </w:r>
    </w:p>
    <w:p>
      <w:pPr>
        <w:pStyle w:val="19"/>
        <w:spacing w:line="480" w:lineRule="auto"/>
        <w:jc w:val="center"/>
        <w:rPr>
          <w:rFonts w:hint="eastAsia" w:asciiTheme="minorEastAsia" w:hAnsiTheme="minorEastAsia" w:eastAsiaTheme="minorEastAsia" w:cstheme="minorEastAsia"/>
          <w:b/>
          <w:bCs/>
          <w:color w:val="000000" w:themeColor="text1"/>
          <w:sz w:val="32"/>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精品在线课堂采购项目</w:t>
      </w:r>
    </w:p>
    <w:p>
      <w:pPr>
        <w:pStyle w:val="19"/>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9"/>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9"/>
        <w:spacing w:line="300" w:lineRule="auto"/>
        <w:jc w:val="center"/>
        <w:rPr>
          <w:rFonts w:hint="eastAsia" w:asciiTheme="minorEastAsia" w:hAnsiTheme="minorEastAsia" w:eastAsiaTheme="minorEastAsia" w:cstheme="minorEastAsia"/>
          <w:b/>
          <w:color w:val="000000" w:themeColor="text1"/>
          <w:sz w:val="28"/>
          <w14:textFill>
            <w14:solidFill>
              <w14:schemeClr w14:val="tx1"/>
            </w14:solidFill>
          </w14:textFill>
        </w:rPr>
      </w:pPr>
    </w:p>
    <w:p>
      <w:pPr>
        <w:pStyle w:val="19"/>
        <w:spacing w:line="480" w:lineRule="auto"/>
        <w:jc w:val="center"/>
        <w:rPr>
          <w:rFonts w:hint="eastAsia"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采购人：湄洲湾职业技术学院（盖章）</w:t>
      </w:r>
    </w:p>
    <w:p>
      <w:pPr>
        <w:pStyle w:val="19"/>
        <w:spacing w:line="480" w:lineRule="auto"/>
        <w:ind w:firstLine="1590" w:firstLineChars="495"/>
        <w:jc w:val="left"/>
        <w:rPr>
          <w:rFonts w:hint="eastAsia" w:asciiTheme="minorEastAsia" w:hAnsiTheme="minorEastAsia" w:eastAsiaTheme="minorEastAsia" w:cstheme="minorEastAsia"/>
          <w:b/>
          <w:color w:val="000000" w:themeColor="text1"/>
          <w:sz w:val="32"/>
          <w14:textFill>
            <w14:solidFill>
              <w14:schemeClr w14:val="tx1"/>
            </w14:solidFill>
          </w14:textFill>
        </w:rPr>
      </w:pPr>
    </w:p>
    <w:p>
      <w:pPr>
        <w:pStyle w:val="19"/>
        <w:spacing w:line="480" w:lineRule="auto"/>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招标代理公司：</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(盖章)</w:t>
      </w:r>
    </w:p>
    <w:p>
      <w:pPr>
        <w:spacing w:line="480" w:lineRule="auto"/>
        <w:jc w:val="center"/>
        <w:rPr>
          <w:rFonts w:hint="eastAsia"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二○二○年</w:t>
      </w:r>
      <w:r>
        <w:rPr>
          <w:rFonts w:hint="eastAsia" w:asciiTheme="minorEastAsia" w:hAnsiTheme="minorEastAsia" w:eastAsiaTheme="minorEastAsia" w:cstheme="minorEastAsia"/>
          <w:b/>
          <w:color w:val="000000" w:themeColor="text1"/>
          <w:sz w:val="32"/>
          <w:lang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32"/>
          <w14:textFill>
            <w14:solidFill>
              <w14:schemeClr w14:val="tx1"/>
            </w14:solidFill>
          </w14:textFill>
        </w:rPr>
        <w:t>月</w:t>
      </w:r>
    </w:p>
    <w:p>
      <w:pPr>
        <w:pStyle w:val="19"/>
        <w:spacing w:line="300" w:lineRule="auto"/>
        <w:ind w:firstLine="4160" w:firstLineChars="1295"/>
        <w:outlineLvl w:val="0"/>
        <w:rPr>
          <w:rFonts w:hint="eastAsia" w:asciiTheme="minorEastAsia" w:hAnsiTheme="minorEastAsia" w:eastAsiaTheme="minorEastAsia" w:cstheme="minorEastAsia"/>
          <w:b/>
          <w:bCs/>
          <w:color w:val="000000" w:themeColor="text1"/>
          <w:sz w:val="32"/>
          <w14:textFill>
            <w14:solidFill>
              <w14:schemeClr w14:val="tx1"/>
            </w14:solidFill>
          </w14:textFill>
        </w:rPr>
      </w:pPr>
      <w:r>
        <w:rPr>
          <w:rFonts w:hint="eastAsia" w:asciiTheme="minorEastAsia" w:hAnsiTheme="minorEastAsia" w:eastAsiaTheme="minorEastAsia" w:cstheme="minorEastAsia"/>
          <w:b/>
          <w:bCs/>
          <w:color w:val="000000" w:themeColor="text1"/>
          <w:sz w:val="32"/>
          <w14:textFill>
            <w14:solidFill>
              <w14:schemeClr w14:val="tx1"/>
            </w14:solidFill>
          </w14:textFill>
        </w:rPr>
        <w:t>目   录</w:t>
      </w:r>
    </w:p>
    <w:p>
      <w:pPr>
        <w:pStyle w:val="6"/>
        <w:snapToGrid w:val="0"/>
        <w:spacing w:line="300" w:lineRule="auto"/>
        <w:ind w:firstLine="0"/>
        <w:rPr>
          <w:rFonts w:hint="eastAsia" w:asciiTheme="minorEastAsia" w:hAnsiTheme="minorEastAsia" w:eastAsiaTheme="minorEastAsia" w:cstheme="minorEastAsia"/>
          <w:color w:val="000000" w:themeColor="text1"/>
          <w:sz w:val="28"/>
          <w14:textFill>
            <w14:solidFill>
              <w14:schemeClr w14:val="tx1"/>
            </w14:solidFill>
          </w14:textFill>
        </w:rPr>
      </w:pP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第一章   招标公告</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一、 投标资格</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二、 招标货物一览表</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第二章    投标人须知</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投标人须知前附表</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 说明</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 招标文件</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 投标文件的编写</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 投标文件的提交</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 投标文件的评估和比较</w:t>
      </w:r>
    </w:p>
    <w:p>
      <w:pPr>
        <w:pStyle w:val="6"/>
        <w:snapToGrid w:val="0"/>
        <w:spacing w:line="360" w:lineRule="auto"/>
        <w:ind w:firstLine="1320" w:firstLineChars="5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 定标和签订合同</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第三章    招标内容及要求</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第四章    政府采购合同</w:t>
      </w:r>
    </w:p>
    <w:p>
      <w:pPr>
        <w:pStyle w:val="6"/>
        <w:snapToGrid w:val="0"/>
        <w:spacing w:line="360" w:lineRule="auto"/>
        <w:ind w:firstLine="840" w:firstLineChars="3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第五章    投标文件相关格式</w:t>
      </w:r>
    </w:p>
    <w:p>
      <w:pPr>
        <w:spacing w:line="300" w:lineRule="auto"/>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14:textFill>
            <w14:solidFill>
              <w14:schemeClr w14:val="tx1"/>
            </w14:solidFill>
          </w14:textFill>
        </w:rPr>
        <w:t>第一章  招标公告</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sz w:val="24"/>
          <w14:textFill>
            <w14:solidFill>
              <w14:schemeClr w14:val="tx1"/>
            </w14:solidFill>
          </w14:textFill>
        </w:rPr>
        <w:t>]受[湄洲湾职业技术学院]的委托，对</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精品在线课堂采购项目</w:t>
      </w:r>
      <w:r>
        <w:rPr>
          <w:rFonts w:hint="eastAsia" w:asciiTheme="minorEastAsia" w:hAnsiTheme="minorEastAsia" w:eastAsiaTheme="minorEastAsia" w:cstheme="minorEastAsia"/>
          <w:color w:val="000000" w:themeColor="text1"/>
          <w:sz w:val="24"/>
          <w14:textFill>
            <w14:solidFill>
              <w14:schemeClr w14:val="tx1"/>
            </w14:solidFill>
          </w14:textFill>
        </w:rPr>
        <w:t>进行国内公开招标，现欢迎国内合格的投标人前来提交密封的投标文件。</w:t>
      </w:r>
    </w:p>
    <w:p>
      <w:pPr>
        <w:pStyle w:val="19"/>
        <w:numPr>
          <w:ilvl w:val="0"/>
          <w:numId w:val="1"/>
        </w:numPr>
        <w:spacing w:line="360" w:lineRule="auto"/>
        <w:ind w:firstLine="482" w:firstLineChars="20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项目编号：</w:t>
      </w:r>
      <w:r>
        <w:rPr>
          <w:rFonts w:hint="eastAsia" w:asciiTheme="minorEastAsia" w:hAnsiTheme="minorEastAsia" w:eastAsiaTheme="minorEastAsia" w:cstheme="minorEastAsia"/>
          <w:b w:val="0"/>
          <w:bCs/>
          <w:color w:val="000000" w:themeColor="text1"/>
          <w:sz w:val="24"/>
          <w14:textFill>
            <w14:solidFill>
              <w14:schemeClr w14:val="tx1"/>
            </w14:solidFill>
          </w14:textFill>
        </w:rPr>
        <w:t>PTXX20200</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12</w:t>
      </w:r>
    </w:p>
    <w:p>
      <w:pPr>
        <w:pStyle w:val="19"/>
        <w:numPr>
          <w:ilvl w:val="0"/>
          <w:numId w:val="1"/>
        </w:num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项目名称</w:t>
      </w:r>
      <w:r>
        <w:rPr>
          <w:rFonts w:hint="eastAsia" w:asciiTheme="minorEastAsia" w:hAnsiTheme="minorEastAsia" w:eastAsiaTheme="minorEastAsia" w:cstheme="minorEastAsia"/>
          <w:b w:val="0"/>
          <w:bCs/>
          <w:color w:val="000000" w:themeColor="text1"/>
          <w:sz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lang w:eastAsia="zh-CN"/>
          <w14:textFill>
            <w14:solidFill>
              <w14:schemeClr w14:val="tx1"/>
            </w14:solidFill>
          </w14:textFill>
        </w:rPr>
        <w:t>精品在线课堂采购项目</w:t>
      </w:r>
      <w:r>
        <w:rPr>
          <w:rFonts w:hint="eastAsia" w:asciiTheme="minorEastAsia" w:hAnsiTheme="minorEastAsia" w:eastAsiaTheme="minorEastAsia" w:cstheme="minorEastAsia"/>
          <w:b w:val="0"/>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（具体内容详见附招标货物一览表）</w:t>
      </w:r>
    </w:p>
    <w:p>
      <w:pPr>
        <w:pStyle w:val="19"/>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三、资格标准： </w:t>
      </w:r>
    </w:p>
    <w:p>
      <w:pPr>
        <w:spacing w:line="360" w:lineRule="auto"/>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1.1、投标人资格证明文件：投标人提供有效的三证合一的营业执照复印件</w:t>
      </w:r>
    </w:p>
    <w:p>
      <w:pPr>
        <w:spacing w:line="360" w:lineRule="auto"/>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r>
        <w:rPr>
          <w:rFonts w:hint="eastAsia" w:asciiTheme="minorEastAsia" w:hAnsiTheme="minorEastAsia" w:eastAsiaTheme="minorEastAsia" w:cstheme="minorEastAsia"/>
          <w:bCs/>
          <w:color w:val="000000" w:themeColor="text1"/>
          <w:sz w:val="24"/>
          <w14:textFill>
            <w14:solidFill>
              <w14:schemeClr w14:val="tx1"/>
            </w14:solidFill>
          </w14:textFill>
        </w:rPr>
        <w:t>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spacing w:line="360" w:lineRule="auto"/>
        <w:ind w:firstLine="420" w:firstLineChars="17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1.4、投标人应具备相关法律法规、行政规章条例中规定的参加招标采购活动应当具备的条件。</w:t>
      </w:r>
    </w:p>
    <w:p>
      <w:pPr>
        <w:spacing w:line="360" w:lineRule="auto"/>
        <w:ind w:firstLine="422" w:firstLineChars="175"/>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1.5、投标人提供自身无行贿犯罪记录的说明或承诺函（投标人自行编写承诺函或说明函即可，格式自拟）。</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1.6、本次招标不允许联合体进行响应。</w:t>
      </w:r>
    </w:p>
    <w:p>
      <w:pPr>
        <w:spacing w:line="360" w:lineRule="auto"/>
        <w:ind w:firstLine="501" w:firstLineChars="209"/>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r>
        <w:rPr>
          <w:rFonts w:hint="eastAsia" w:asciiTheme="minorEastAsia" w:hAnsiTheme="minorEastAsia" w:eastAsiaTheme="minorEastAsia" w:cstheme="minorEastAsia"/>
          <w:b/>
          <w:color w:val="000000" w:themeColor="text1"/>
          <w:kern w:val="0"/>
          <w:sz w:val="24"/>
          <w14:textFill>
            <w14:solidFill>
              <w14:schemeClr w14:val="tx1"/>
            </w14:solidFill>
          </w14:textFill>
        </w:rPr>
        <w:t>信用记录查询结果：</w:t>
      </w:r>
      <w:r>
        <w:rPr>
          <w:rFonts w:hint="eastAsia" w:asciiTheme="minorEastAsia" w:hAnsiTheme="minorEastAsia" w:eastAsiaTheme="minorEastAsia" w:cstheme="minorEastAsia"/>
          <w:color w:val="000000" w:themeColor="text1"/>
          <w:kern w:val="0"/>
          <w:sz w:val="24"/>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autoSpaceDE w:val="0"/>
        <w:autoSpaceDN w:val="0"/>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1.8、</w:t>
      </w:r>
      <w:r>
        <w:rPr>
          <w:rFonts w:hint="eastAsia" w:asciiTheme="minorEastAsia" w:hAnsiTheme="minorEastAsia" w:eastAsiaTheme="minorEastAsia" w:cstheme="minorEastAsia"/>
          <w:b/>
          <w:color w:val="000000" w:themeColor="text1"/>
          <w:kern w:val="0"/>
          <w:sz w:val="24"/>
          <w14:textFill>
            <w14:solidFill>
              <w14:schemeClr w14:val="tx1"/>
            </w14:solidFill>
          </w14:textFill>
        </w:rPr>
        <w:t>参加采购活动前三年内在经营活动中没有重大违法记录书面声明：</w:t>
      </w:r>
      <w:r>
        <w:rPr>
          <w:rFonts w:hint="eastAsia" w:asciiTheme="minorEastAsia" w:hAnsiTheme="minorEastAsia" w:eastAsiaTheme="minorEastAsia" w:cstheme="minorEastAsia"/>
          <w:color w:val="000000" w:themeColor="text1"/>
          <w:kern w:val="0"/>
          <w:sz w:val="24"/>
          <w14:textFill>
            <w14:solidFill>
              <w14:schemeClr w14:val="tx1"/>
            </w14:solidFill>
          </w14:textFill>
        </w:rPr>
        <w:t>1、“重大违法记录”指投标人因违法经营受到刑事处罚或责令停产停业、吊销许可证或执照、较大数额罚款等行政处罚。 2、纸质响应文件正本中的本声明应为原件。</w:t>
      </w:r>
    </w:p>
    <w:p>
      <w:pPr>
        <w:tabs>
          <w:tab w:val="left" w:pos="2655"/>
        </w:tabs>
        <w:spacing w:line="360" w:lineRule="auto"/>
        <w:ind w:firstLine="482"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四、时间、地点安排</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ab/>
      </w:r>
    </w:p>
    <w:p>
      <w:pPr>
        <w:tabs>
          <w:tab w:val="left" w:pos="1740"/>
        </w:tabs>
        <w:spacing w:line="360" w:lineRule="auto"/>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1、报名时间：20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日～20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14:textFill>
            <w14:solidFill>
              <w14:schemeClr w14:val="tx1"/>
            </w14:solidFill>
          </w14:textFill>
        </w:rPr>
        <w:t>日(节假日除外)，每天上午8:30～11:30，下午14：30～17:30(北京时间)。</w:t>
      </w:r>
    </w:p>
    <w:p>
      <w:pPr>
        <w:spacing w:line="360" w:lineRule="auto"/>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2、投标文件递交截止、开标时间：20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上午9:00</w:t>
      </w:r>
      <w:bookmarkStart w:id="19" w:name="_GoBack"/>
      <w:bookmarkEnd w:id="19"/>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时</w:t>
      </w:r>
      <w:r>
        <w:rPr>
          <w:rFonts w:hint="eastAsia" w:asciiTheme="minorEastAsia" w:hAnsiTheme="minorEastAsia" w:eastAsiaTheme="minorEastAsia" w:cstheme="minorEastAsia"/>
          <w:color w:val="000000" w:themeColor="text1"/>
          <w:sz w:val="24"/>
          <w14:textFill>
            <w14:solidFill>
              <w14:schemeClr w14:val="tx1"/>
            </w14:solidFill>
          </w14:textFill>
        </w:rPr>
        <w:t xml:space="preserve">，逾期收到的或不符合规定的投标文件将被拒绝。 </w:t>
      </w:r>
    </w:p>
    <w:p>
      <w:pPr>
        <w:tabs>
          <w:tab w:val="left" w:pos="1740"/>
        </w:tabs>
        <w:spacing w:line="360" w:lineRule="auto"/>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4、地点安排：</w:t>
      </w:r>
    </w:p>
    <w:p>
      <w:pPr>
        <w:tabs>
          <w:tab w:val="left" w:pos="420"/>
          <w:tab w:val="left" w:pos="2160"/>
        </w:tabs>
        <w:spacing w:line="360" w:lineRule="auto"/>
        <w:ind w:right="25" w:rightChars="12"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4.1投标、咨询及来往信函地点：莆田市城厢区霞林街道城港大道99号金海湾小区1号楼706室。</w:t>
      </w:r>
    </w:p>
    <w:p>
      <w:pPr>
        <w:tabs>
          <w:tab w:val="left" w:pos="210"/>
          <w:tab w:val="left" w:pos="525"/>
          <w:tab w:val="left" w:pos="2160"/>
        </w:tabs>
        <w:spacing w:line="360" w:lineRule="auto"/>
        <w:ind w:right="25" w:rightChars="12" w:firstLine="523" w:firstLineChars="218"/>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4.2投标文件递交及开标地点：莆田市城厢区霞林街道城港大道99号金海湾小区1号楼706室，投标文件由</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sz w:val="24"/>
          <w14:textFill>
            <w14:solidFill>
              <w14:schemeClr w14:val="tx1"/>
            </w14:solidFill>
          </w14:textFill>
        </w:rPr>
        <w:t>工作人员接收。</w:t>
      </w:r>
    </w:p>
    <w:p>
      <w:pPr>
        <w:spacing w:line="360" w:lineRule="auto"/>
        <w:ind w:firstLine="482"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五、投标保证金：</w:t>
      </w:r>
      <w:r>
        <w:rPr>
          <w:rFonts w:hint="eastAsia" w:asciiTheme="minorEastAsia" w:hAnsiTheme="minorEastAsia" w:eastAsiaTheme="minorEastAsia" w:cstheme="minorEastAsia"/>
          <w:color w:val="000000" w:themeColor="text1"/>
          <w:sz w:val="24"/>
          <w14:textFill>
            <w14:solidFill>
              <w14:schemeClr w14:val="tx1"/>
            </w14:solidFill>
          </w14:textFill>
        </w:rPr>
        <w:t>投标保证金为人民币</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贰仟陆佰</w:t>
      </w:r>
      <w:r>
        <w:rPr>
          <w:rFonts w:hint="eastAsia" w:asciiTheme="minorEastAsia" w:hAnsiTheme="minorEastAsia" w:eastAsiaTheme="minorEastAsia" w:cstheme="minorEastAsia"/>
          <w:color w:val="000000" w:themeColor="text1"/>
          <w:sz w:val="24"/>
          <w14:textFill>
            <w14:solidFill>
              <w14:schemeClr w14:val="tx1"/>
            </w14:solidFill>
          </w14:textFill>
        </w:rPr>
        <w:t>元整（￥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14:textFill>
            <w14:solidFill>
              <w14:schemeClr w14:val="tx1"/>
            </w14:solidFill>
          </w14:textFill>
        </w:rPr>
        <w:t>00元）；各投标人于投标截止时间前将保证金以银行转账或汇票形式提交。（注：保证金必须以转账或电汇等非现金形式交纳，请投标单位在存款单上注明采购项目编号及投标单位名称，投标人在递交投标响应文件的同时应提交缴纳保证金的银行回单。）</w:t>
      </w: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六、取得招标文件方式及标书工本费：</w:t>
      </w:r>
    </w:p>
    <w:p>
      <w:pPr>
        <w:autoSpaceDE w:val="0"/>
        <w:autoSpaceDN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1、上门报名：即投标人直接到我司购买招标文件。</w:t>
      </w:r>
    </w:p>
    <w:p>
      <w:pPr>
        <w:autoSpaceDE w:val="0"/>
        <w:autoSpaceDN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autoSpaceDE w:val="0"/>
        <w:autoSpaceDN w:val="0"/>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3、招标文件售价为100元/份(含电子文档)，邮购费50元，本招标代理公司不对邮寄过程中可能发生的延误或丢失负责，本文件售后不退。</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七、投标人对本次招标活动事项提出疑问的，请在投标截止时间15日之前，以信函或传真的形式与招标代理机构联系。</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八、我司将在</w:t>
      </w:r>
      <w:r>
        <w:rPr>
          <w:rFonts w:hint="eastAsia" w:asciiTheme="minorEastAsia" w:hAnsiTheme="minorEastAsia" w:eastAsiaTheme="minorEastAsia" w:cstheme="minorEastAsia"/>
          <w:b/>
          <w:bCs/>
          <w:color w:val="000000" w:themeColor="text1"/>
          <w:sz w:val="24"/>
          <w14:textFill>
            <w14:solidFill>
              <w14:schemeClr w14:val="tx1"/>
            </w14:solidFill>
          </w14:textFill>
        </w:rPr>
        <w:t>中国政府采购网等网上</w:t>
      </w:r>
      <w:r>
        <w:rPr>
          <w:rFonts w:hint="eastAsia" w:asciiTheme="minorEastAsia" w:hAnsiTheme="minorEastAsia" w:eastAsiaTheme="minorEastAsia" w:cstheme="minorEastAsia"/>
          <w:color w:val="000000" w:themeColor="text1"/>
          <w:sz w:val="24"/>
          <w14:textFill>
            <w14:solidFill>
              <w14:schemeClr w14:val="tx1"/>
            </w14:solidFill>
          </w14:textFill>
        </w:rPr>
        <w:t>上发布本项目的采购公告、更改通知、答疑纪要、评标结果等信息，请投标人及时关注，投标人若自己没有在以上网站上查询相关更改通知和答疑纪要等信息而影响投标的，投标人自行承担相关责任。</w:t>
      </w:r>
    </w:p>
    <w:p>
      <w:pPr>
        <w:spacing w:line="360" w:lineRule="auto"/>
        <w:ind w:firstLine="354" w:firstLineChars="14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九、</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b/>
          <w:color w:val="000000" w:themeColor="text1"/>
          <w:sz w:val="24"/>
          <w14:textFill>
            <w14:solidFill>
              <w14:schemeClr w14:val="tx1"/>
            </w14:solidFill>
          </w14:textFill>
        </w:rPr>
        <w:t>指定帐户：</w:t>
      </w:r>
    </w:p>
    <w:p>
      <w:pPr>
        <w:autoSpaceDE w:val="0"/>
        <w:autoSpaceDN w:val="0"/>
        <w:spacing w:line="360" w:lineRule="auto"/>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rPr>
        <w:t>投标保证金缴纳帐户</w:t>
      </w:r>
      <w:r>
        <w:rPr>
          <w:rFonts w:hint="eastAsia" w:ascii="宋体" w:hAnsi="宋体"/>
          <w:color w:val="000000"/>
          <w:sz w:val="24"/>
        </w:rPr>
        <w:t>：开户名--福建莆田兴鑫招标代理有限公司，开户行—中国邮政储蓄银行股份有限公司莆田市城厢区支行，帐号—935002010016936699。</w:t>
      </w:r>
    </w:p>
    <w:p>
      <w:pPr>
        <w:widowControl/>
        <w:spacing w:line="360" w:lineRule="auto"/>
        <w:jc w:val="left"/>
        <w:rPr>
          <w:rFonts w:hint="eastAsia" w:ascii="宋体" w:hAnsi="宋体"/>
          <w:color w:val="000000"/>
          <w:sz w:val="24"/>
        </w:rPr>
      </w:pPr>
      <w:r>
        <w:rPr>
          <w:rFonts w:hint="eastAsia" w:ascii="宋体" w:hAnsi="宋体"/>
          <w:color w:val="000000"/>
          <w:sz w:val="24"/>
        </w:rPr>
        <w:t>（2）</w:t>
      </w:r>
      <w:r>
        <w:rPr>
          <w:rFonts w:hint="eastAsia" w:ascii="宋体" w:hAnsi="宋体"/>
          <w:b/>
          <w:color w:val="000000"/>
          <w:sz w:val="24"/>
        </w:rPr>
        <w:t>标书工本费、中标服务费缴纳帐户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widowControl/>
        <w:spacing w:line="360" w:lineRule="auto"/>
        <w:ind w:firstLine="361" w:firstLineChars="150"/>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十、采购人和招标代理人的名称和地址</w:t>
      </w:r>
    </w:p>
    <w:p>
      <w:pPr>
        <w:widowControl/>
        <w:spacing w:line="360" w:lineRule="auto"/>
        <w:ind w:firstLine="600" w:firstLineChars="2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(1)(1)采购人：湄洲湾职业技术学院</w:t>
      </w:r>
    </w:p>
    <w:p>
      <w:pPr>
        <w:spacing w:line="360" w:lineRule="auto"/>
        <w:ind w:firstLine="960" w:firstLineChars="4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徐先生</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联系方式：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15892096807</w:t>
      </w:r>
    </w:p>
    <w:p>
      <w:pPr>
        <w:spacing w:line="36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招标代理人：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福建莆田兴鑫招标代理有限公司</w:t>
      </w:r>
    </w:p>
    <w:p>
      <w:pPr>
        <w:spacing w:line="360" w:lineRule="auto"/>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地址：莆田市城厢区霞林街道城港大道99号金海湾小区1号楼706室</w:t>
      </w:r>
    </w:p>
    <w:p>
      <w:pPr>
        <w:spacing w:line="360" w:lineRule="auto"/>
        <w:ind w:firstLine="960" w:firstLineChars="4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陈</w:t>
      </w:r>
    </w:p>
    <w:p>
      <w:pPr>
        <w:spacing w:line="360" w:lineRule="auto"/>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18030342382</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spacing w:line="360" w:lineRule="auto"/>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公司邮箱：</w:t>
      </w:r>
      <w:r>
        <w:rPr>
          <w:rFonts w:hint="eastAsia" w:asciiTheme="minorEastAsia" w:hAnsiTheme="minorEastAsia" w:eastAsiaTheme="minorEastAsia" w:cstheme="minorEastAsia"/>
          <w:color w:val="000000" w:themeColor="text1"/>
          <w:sz w:val="24"/>
          <w:u w:val="single"/>
          <w14:textFill>
            <w14:solidFill>
              <w14:schemeClr w14:val="tx1"/>
            </w14:solidFill>
          </w14:textFill>
        </w:rPr>
        <w:t>xxzb2020@126.com</w:t>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460" w:lineRule="exact"/>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附：招标货物一览表</w:t>
      </w:r>
    </w:p>
    <w:p>
      <w:pPr>
        <w:pStyle w:val="28"/>
        <w:widowControl/>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金额单位：人民币元 </w:t>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p>
    <w:tbl>
      <w:tblPr>
        <w:tblStyle w:val="32"/>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91"/>
        <w:gridCol w:w="3163"/>
        <w:gridCol w:w="1009"/>
        <w:gridCol w:w="1214"/>
        <w:gridCol w:w="1527"/>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合同包</w:t>
            </w:r>
          </w:p>
        </w:tc>
        <w:tc>
          <w:tcPr>
            <w:tcW w:w="791"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品目号</w:t>
            </w:r>
          </w:p>
        </w:tc>
        <w:tc>
          <w:tcPr>
            <w:tcW w:w="3163"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采购标的</w:t>
            </w:r>
          </w:p>
        </w:tc>
        <w:tc>
          <w:tcPr>
            <w:tcW w:w="1009"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允许进口</w:t>
            </w:r>
          </w:p>
        </w:tc>
        <w:tc>
          <w:tcPr>
            <w:tcW w:w="1214"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数量</w:t>
            </w:r>
          </w:p>
        </w:tc>
        <w:tc>
          <w:tcPr>
            <w:tcW w:w="1527"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合同包预算（元）</w:t>
            </w:r>
          </w:p>
        </w:tc>
        <w:tc>
          <w:tcPr>
            <w:tcW w:w="1364" w:type="dxa"/>
            <w:vAlign w:val="center"/>
          </w:tcPr>
          <w:p>
            <w:pPr>
              <w:spacing w:line="460" w:lineRule="exact"/>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47"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791"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3163" w:type="dxa"/>
            <w:vAlign w:val="center"/>
          </w:tcPr>
          <w:p>
            <w:pPr>
              <w:spacing w:line="4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精品在线课堂采购项目</w:t>
            </w:r>
          </w:p>
        </w:tc>
        <w:tc>
          <w:tcPr>
            <w:tcW w:w="1009"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否</w:t>
            </w:r>
          </w:p>
        </w:tc>
        <w:tc>
          <w:tcPr>
            <w:tcW w:w="1214"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1（项）</w:t>
            </w:r>
          </w:p>
        </w:tc>
        <w:tc>
          <w:tcPr>
            <w:tcW w:w="1527" w:type="dxa"/>
            <w:vAlign w:val="center"/>
          </w:tcPr>
          <w:p>
            <w:pPr>
              <w:spacing w:line="4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14:textFill>
                  <w14:solidFill>
                    <w14:schemeClr w14:val="tx1"/>
                  </w14:solidFill>
                </w14:textFill>
              </w:rPr>
              <w:t>000.00</w:t>
            </w:r>
          </w:p>
        </w:tc>
        <w:tc>
          <w:tcPr>
            <w:tcW w:w="1364" w:type="dxa"/>
            <w:vAlign w:val="center"/>
          </w:tcPr>
          <w:p>
            <w:pPr>
              <w:spacing w:line="46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5" w:type="dxa"/>
            <w:gridSpan w:val="7"/>
          </w:tcPr>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1.合同签订时间：中标通知书发出后15天内签订合同。</w:t>
            </w:r>
          </w:p>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2.交货地点：按招标人指定地点。</w:t>
            </w:r>
          </w:p>
          <w:p>
            <w:pPr>
              <w:widowControl/>
              <w:spacing w:line="4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3.交货期：签订合同之日起</w:t>
            </w: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14:textFill>
                  <w14:solidFill>
                    <w14:schemeClr w14:val="tx1"/>
                  </w14:solidFill>
                </w14:textFill>
              </w:rPr>
              <w:t>个日历日内供货安装完毕，且初验合格，交付使用。</w:t>
            </w:r>
          </w:p>
          <w:p>
            <w:pPr>
              <w:widowControl/>
              <w:spacing w:line="440" w:lineRule="exact"/>
              <w:jc w:val="left"/>
              <w:rPr>
                <w:rFonts w:hint="default" w:eastAsia="宋体" w:asciiTheme="minorEastAsia" w:hAnsiTheme="minorEastAsia" w:cstheme="minorEastAsia"/>
                <w:b/>
                <w:color w:val="000000" w:themeColor="text1"/>
                <w:kern w:val="0"/>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4.付款方式：</w:t>
            </w:r>
            <w:r>
              <w:rPr>
                <w:rFonts w:hint="eastAsia" w:ascii="宋体" w:hAnsi="宋体"/>
                <w:sz w:val="24"/>
                <w:szCs w:val="24"/>
              </w:rPr>
              <w:t>货到安装并验收合格后付款，招标人不接受需要支付预付款的投标报价。本批招标货物的付款条件为经验收合格后，持有正式发票和用户所开具的验收合格证明，在</w:t>
            </w:r>
            <w:r>
              <w:rPr>
                <w:rFonts w:ascii="宋体" w:hAnsi="宋体"/>
                <w:sz w:val="24"/>
                <w:szCs w:val="24"/>
              </w:rPr>
              <w:t>5</w:t>
            </w:r>
            <w:r>
              <w:rPr>
                <w:rFonts w:hint="eastAsia" w:ascii="宋体" w:hAnsi="宋体"/>
                <w:sz w:val="24"/>
                <w:szCs w:val="24"/>
              </w:rPr>
              <w:t>个工作日内</w:t>
            </w:r>
            <w:r>
              <w:rPr>
                <w:rFonts w:hint="eastAsia" w:ascii="宋体" w:hAnsi="宋体" w:cs="宋体"/>
                <w:sz w:val="24"/>
                <w:szCs w:val="24"/>
              </w:rPr>
              <w:t>一次性付100％货款。</w:t>
            </w:r>
          </w:p>
        </w:tc>
      </w:tr>
    </w:tbl>
    <w:p>
      <w:pPr>
        <w:spacing w:line="460" w:lineRule="exact"/>
        <w:ind w:firstLine="360" w:firstLineChars="1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备注：</w:t>
      </w:r>
    </w:p>
    <w:p>
      <w:pPr>
        <w:spacing w:line="4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投标人应按合同包报价，对同一合同包内所有品目号内容报价时必须完整。评标与授标以合同包为单位。</w:t>
      </w:r>
    </w:p>
    <w:p>
      <w:pPr>
        <w:spacing w:line="460" w:lineRule="exact"/>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本项目设有最高限价，超过最高限价的投标为无效投标。</w:t>
      </w:r>
    </w:p>
    <w:p>
      <w:pPr>
        <w:pStyle w:val="19"/>
        <w:tabs>
          <w:tab w:val="left" w:pos="8360"/>
        </w:tabs>
        <w:spacing w:line="460" w:lineRule="exact"/>
        <w:jc w:val="left"/>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、本项目为整体招标，招标内容包括以上货物及材料采购价格、运杂费、安装费、税费、包装费、验收费、保险费、售后服务费以及所有不可预见的费用均包含在</w:t>
      </w:r>
      <w:r>
        <w:rPr>
          <w:rFonts w:hint="eastAsia"/>
          <w:b/>
          <w:bCs/>
          <w:color w:val="000000" w:themeColor="text1"/>
          <w:sz w:val="24"/>
          <w14:textFill>
            <w14:solidFill>
              <w14:schemeClr w14:val="tx1"/>
            </w14:solidFill>
          </w14:textFill>
        </w:rPr>
        <w:t>投标报价</w:t>
      </w:r>
      <w:r>
        <w:rPr>
          <w:rFonts w:hint="eastAsia"/>
          <w:color w:val="000000" w:themeColor="text1"/>
          <w:sz w:val="24"/>
          <w14:textFill>
            <w14:solidFill>
              <w14:schemeClr w14:val="tx1"/>
            </w14:solidFill>
          </w14:textFill>
        </w:rPr>
        <w:t>中。投标人必须对本招标文件所需全部货物和服务内容做出完整的投标响应，否则为无效投标。</w:t>
      </w:r>
    </w:p>
    <w:p>
      <w:pPr>
        <w:spacing w:line="460" w:lineRule="exact"/>
        <w:ind w:firstLine="361" w:firstLineChars="150"/>
        <w:rPr>
          <w:rFonts w:hint="eastAsia" w:asciiTheme="minorEastAsia" w:hAnsiTheme="minorEastAsia" w:eastAsiaTheme="minorEastAsia" w:cstheme="minorEastAsia"/>
          <w:b/>
          <w:color w:val="000000" w:themeColor="text1"/>
          <w:sz w:val="24"/>
          <w:u w:val="single"/>
          <w14:textFill>
            <w14:solidFill>
              <w14:schemeClr w14:val="tx1"/>
            </w14:solidFill>
          </w14:textFill>
        </w:rPr>
      </w:pPr>
    </w:p>
    <w:p>
      <w:pPr>
        <w:pStyle w:val="3"/>
        <w:rPr>
          <w:rFonts w:hint="eastAsia"/>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after="240" w:afterLines="10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第二章  投标人须知</w:t>
      </w:r>
    </w:p>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投标人须知前附表</w:t>
      </w:r>
    </w:p>
    <w:p>
      <w:pPr>
        <w:spacing w:line="360" w:lineRule="auto"/>
        <w:ind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本须知前附表的条款号是与《投标人须知》中条款的项号相对应的。如果有矛盾的话，应以本须知前附表为准。 </w:t>
      </w:r>
    </w:p>
    <w:tbl>
      <w:tblPr>
        <w:tblStyle w:val="31"/>
        <w:tblW w:w="101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77"/>
        <w:gridCol w:w="750"/>
        <w:gridCol w:w="882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3" w:hRule="atLeast"/>
          <w:tblHeader/>
          <w:jc w:val="center"/>
        </w:trPr>
        <w:tc>
          <w:tcPr>
            <w:tcW w:w="577"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项号</w:t>
            </w:r>
          </w:p>
        </w:tc>
        <w:tc>
          <w:tcPr>
            <w:tcW w:w="750"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8826" w:type="dxa"/>
            <w:tcBorders>
              <w:top w:val="single" w:color="auto" w:sz="18" w:space="0"/>
              <w:bottom w:val="single" w:color="auto" w:sz="6" w:space="0"/>
            </w:tcBorders>
            <w:shd w:val="clear" w:color="auto" w:fill="FFFFFF"/>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   列   内    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577" w:type="dxa"/>
            <w:tcBorders>
              <w:top w:val="single" w:color="auto" w:sz="6" w:space="0"/>
            </w:tcBorders>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tcBorders>
              <w:top w:val="single" w:color="auto" w:sz="6"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8826" w:type="dxa"/>
            <w:tcBorders>
              <w:top w:val="single" w:color="auto" w:sz="6" w:space="0"/>
            </w:tcBorders>
            <w:vAlign w:val="center"/>
          </w:tcPr>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PTXX2020012</w:t>
            </w:r>
          </w:p>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精品在线课堂采购项目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826" w:type="dxa"/>
          </w:tcPr>
          <w:p>
            <w:pPr>
              <w:keepNext w:val="0"/>
              <w:keepLines w:val="0"/>
              <w:pageBreakBefore w:val="0"/>
              <w:widowControl w:val="0"/>
              <w:kinsoku/>
              <w:wordWrap/>
              <w:overflowPunct/>
              <w:topLinePunct w:val="0"/>
              <w:bidi w:val="0"/>
              <w:adjustRightInd/>
              <w:snapToGrid/>
              <w:spacing w:line="52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资格标准：</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1.1、投标人资格证明文件：投标人提供有效的三证合一的营业执照复印件</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bCs/>
                <w:color w:val="000000" w:themeColor="text1"/>
                <w:sz w:val="24"/>
                <w:szCs w:val="24"/>
                <w14:textFill>
                  <w14:solidFill>
                    <w14:schemeClr w14:val="tx1"/>
                  </w14:solidFill>
                </w14:textFill>
              </w:rPr>
              <w:t>投标代表必须经投标方的法定代表人关于参与本项目投标报价的授权，请提供法定代表人授权投标代表的授权委托书原件(投标代表是法定代表人无需)，法定代表人和投标代表人的身份证复印件。</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keepNext w:val="0"/>
              <w:keepLines w:val="0"/>
              <w:pageBreakBefore w:val="0"/>
              <w:widowControl w:val="0"/>
              <w:kinsoku/>
              <w:wordWrap/>
              <w:overflowPunct/>
              <w:topLinePunct w:val="0"/>
              <w:bidi w:val="0"/>
              <w:adjustRightInd/>
              <w:snapToGrid/>
              <w:spacing w:line="520" w:lineRule="exact"/>
              <w:ind w:firstLine="420" w:firstLineChars="1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1.4、投标人应具备相关法律法规、行政规章条例中规定的参加招标采购活动应当具备的条件。</w:t>
            </w:r>
          </w:p>
          <w:p>
            <w:pPr>
              <w:keepNext w:val="0"/>
              <w:keepLines w:val="0"/>
              <w:pageBreakBefore w:val="0"/>
              <w:widowControl w:val="0"/>
              <w:kinsoku/>
              <w:wordWrap/>
              <w:overflowPunct/>
              <w:topLinePunct w:val="0"/>
              <w:bidi w:val="0"/>
              <w:adjustRightInd/>
              <w:snapToGrid/>
              <w:spacing w:line="520" w:lineRule="exact"/>
              <w:ind w:firstLine="422" w:firstLineChars="175"/>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1.5、投标人提供自身无行贿犯罪记录的说明或承诺函（投标人自行编写承诺函或说明函即可，格式自拟）。</w:t>
            </w:r>
          </w:p>
          <w:p>
            <w:pPr>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1.6、本次招标不允许联合体进行响应。</w:t>
            </w:r>
          </w:p>
          <w:p>
            <w:pPr>
              <w:keepNext w:val="0"/>
              <w:keepLines w:val="0"/>
              <w:pageBreakBefore w:val="0"/>
              <w:widowControl w:val="0"/>
              <w:kinsoku/>
              <w:wordWrap/>
              <w:overflowPunct/>
              <w:topLinePunct w:val="0"/>
              <w:bidi w:val="0"/>
              <w:adjustRightInd/>
              <w:snapToGrid/>
              <w:spacing w:line="520" w:lineRule="exact"/>
              <w:ind w:firstLine="501" w:firstLineChars="209"/>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r>
              <w:rPr>
                <w:rFonts w:hint="eastAsia" w:ascii="宋体" w:hAnsi="宋体" w:eastAsia="宋体" w:cs="宋体"/>
                <w:b/>
                <w:color w:val="000000" w:themeColor="text1"/>
                <w:kern w:val="0"/>
                <w:sz w:val="24"/>
                <w:szCs w:val="24"/>
                <w14:textFill>
                  <w14:solidFill>
                    <w14:schemeClr w14:val="tx1"/>
                  </w14:solidFill>
                </w14:textFill>
              </w:rPr>
              <w:t>信用记录查询结果：</w:t>
            </w:r>
            <w:r>
              <w:rPr>
                <w:rFonts w:hint="eastAsia" w:ascii="宋体" w:hAnsi="宋体" w:eastAsia="宋体" w:cs="宋体"/>
                <w:color w:val="000000" w:themeColor="text1"/>
                <w:kern w:val="0"/>
                <w:sz w:val="24"/>
                <w:szCs w:val="24"/>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r>
              <w:rPr>
                <w:rFonts w:hint="eastAsia" w:ascii="宋体" w:hAnsi="宋体" w:eastAsia="宋体" w:cs="宋体"/>
                <w:b/>
                <w:color w:val="000000" w:themeColor="text1"/>
                <w:kern w:val="0"/>
                <w:sz w:val="24"/>
                <w:szCs w:val="24"/>
                <w14:textFill>
                  <w14:solidFill>
                    <w14:schemeClr w14:val="tx1"/>
                  </w14:solidFill>
                </w14:textFill>
              </w:rPr>
              <w:t>参加采购活动前三年内在经营活动中没有重大违法记录书面声明：</w:t>
            </w:r>
            <w:r>
              <w:rPr>
                <w:rFonts w:hint="eastAsia" w:ascii="宋体" w:hAnsi="宋体" w:eastAsia="宋体" w:cs="宋体"/>
                <w:color w:val="000000" w:themeColor="text1"/>
                <w:kern w:val="0"/>
                <w:sz w:val="24"/>
                <w:szCs w:val="24"/>
                <w14:textFill>
                  <w14:solidFill>
                    <w14:schemeClr w14:val="tx1"/>
                  </w14:solidFill>
                </w14:textFill>
              </w:rPr>
              <w:t>1、“重大违法记录”指投标人因违法经营受到刑事处罚或责令停产停业、吊销许可证或执照、较大数额罚款等行政处罚。 2、纸质响应文件正本中的本声明应为原件。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投标有效期：投标截止期结束后90个日历日。</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有效期不足将导致其投标文件被拒绝。</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投标文件递交地址：</w:t>
            </w:r>
            <w:r>
              <w:rPr>
                <w:rFonts w:hint="eastAsia" w:asciiTheme="minorEastAsia" w:hAnsiTheme="minorEastAsia" w:eastAsiaTheme="minorEastAsia" w:cstheme="minorEastAsia"/>
                <w:color w:val="000000" w:themeColor="text1"/>
                <w:sz w:val="24"/>
                <w14:textFill>
                  <w14:solidFill>
                    <w14:schemeClr w14:val="tx1"/>
                  </w14:solidFill>
                </w14:textFill>
              </w:rPr>
              <w:t>莆田市城厢区霞林街道城港大道99号金海湾小区1号楼706室</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接收人：招标公司工作人员</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投标截止时间：20</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eastAsia="宋体" w:cs="宋体"/>
                <w:color w:val="000000" w:themeColor="text1"/>
                <w:sz w:val="24"/>
                <w:szCs w:val="24"/>
                <w:lang w:val="en-US" w:eastAsia="zh-CN"/>
                <w14:textFill>
                  <w14:solidFill>
                    <w14:schemeClr w14:val="tx1"/>
                  </w14:solidFill>
                </w14:textFill>
              </w:rPr>
              <w:t>上</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eastAsia="宋体" w:cs="宋体"/>
                <w:color w:val="000000" w:themeColor="text1"/>
                <w:sz w:val="24"/>
                <w:szCs w:val="24"/>
                <w:lang w:val="en-US" w:eastAsia="zh-CN"/>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8826" w:type="dxa"/>
            <w:vAlign w:val="center"/>
          </w:tcPr>
          <w:p>
            <w:pPr>
              <w:keepNext w:val="0"/>
              <w:keepLines w:val="0"/>
              <w:pageBreakBefore w:val="0"/>
              <w:widowControl w:val="0"/>
              <w:numPr>
                <w:ilvl w:val="0"/>
                <w:numId w:val="3"/>
              </w:numPr>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投标保证金：投标保证金为人民币</w:t>
            </w:r>
            <w:r>
              <w:rPr>
                <w:rFonts w:hint="eastAsia" w:ascii="宋体" w:hAnsi="宋体" w:cs="宋体"/>
                <w:b/>
                <w:bCs/>
                <w:color w:val="000000" w:themeColor="text1"/>
                <w:sz w:val="24"/>
                <w:szCs w:val="24"/>
                <w:lang w:eastAsia="zh-CN"/>
                <w14:textFill>
                  <w14:solidFill>
                    <w14:schemeClr w14:val="tx1"/>
                  </w14:solidFill>
                </w14:textFill>
              </w:rPr>
              <w:t>贰仟陆佰</w:t>
            </w:r>
            <w:r>
              <w:rPr>
                <w:rFonts w:hint="eastAsia" w:ascii="宋体" w:hAnsi="宋体" w:eastAsia="宋体" w:cs="宋体"/>
                <w:b/>
                <w:bCs/>
                <w:color w:val="000000" w:themeColor="text1"/>
                <w:sz w:val="24"/>
                <w:szCs w:val="24"/>
                <w14:textFill>
                  <w14:solidFill>
                    <w14:schemeClr w14:val="tx1"/>
                  </w14:solidFill>
                </w14:textFill>
              </w:rPr>
              <w:t>元整（￥</w:t>
            </w:r>
            <w:r>
              <w:rPr>
                <w:rFonts w:hint="eastAsia" w:ascii="宋体" w:hAnsi="宋体" w:cs="宋体"/>
                <w:b/>
                <w:bCs/>
                <w:color w:val="000000" w:themeColor="text1"/>
                <w:sz w:val="24"/>
                <w:szCs w:val="24"/>
                <w:lang w:val="en-US" w:eastAsia="zh-CN"/>
                <w14:textFill>
                  <w14:solidFill>
                    <w14:schemeClr w14:val="tx1"/>
                  </w14:solidFill>
                </w14:textFill>
              </w:rPr>
              <w:t>26</w:t>
            </w:r>
            <w:r>
              <w:rPr>
                <w:rFonts w:hint="eastAsia" w:ascii="宋体" w:hAnsi="宋体" w:eastAsia="宋体" w:cs="宋体"/>
                <w:b/>
                <w:bCs/>
                <w:color w:val="000000" w:themeColor="text1"/>
                <w:sz w:val="24"/>
                <w:szCs w:val="24"/>
                <w14:textFill>
                  <w14:solidFill>
                    <w14:schemeClr w14:val="tx1"/>
                  </w14:solidFill>
                </w14:textFill>
              </w:rPr>
              <w:t>00元）；各投标人于投标截止时间前将保证金以银行转账或汇票形式提交。（注：保证金必须以转账或电汇等非现金形式交纳，请投标单位在存款单上注明采购项目编号及投标单位名称，投标人在递交投标响应文件的同时应提交缴纳保证金的银行回单。）</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本批招标无效投标：详见招标文件第17.3资格性检查和符合性检查及资格标准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废标条款：</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根据《中华人民共和国政府采购法》第三十六条规定，在招标采购中，出现下列情形之一的，应予废标：</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(一)符合专业条件的投标人或者对招标文件作实质响应的投标人不足三家的； </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(二)出现影响采购公正的违法、违规行为的； </w:t>
            </w:r>
          </w:p>
          <w:p>
            <w:pPr>
              <w:keepNext w:val="0"/>
              <w:keepLines w:val="0"/>
              <w:pageBreakBefore w:val="0"/>
              <w:widowControl w:val="0"/>
              <w:tabs>
                <w:tab w:val="left" w:pos="6930"/>
              </w:tabs>
              <w:kinsoku/>
              <w:wordWrap/>
              <w:overflowPunct/>
              <w:topLinePunct w:val="0"/>
              <w:bidi w:val="0"/>
              <w:adjustRightInd/>
              <w:snapToGrid/>
              <w:spacing w:line="520" w:lineRule="exact"/>
              <w:ind w:right="6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(三)因重大变故，采购任务取消的。</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8826" w:type="dxa"/>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评标标准和方法：</w:t>
            </w:r>
            <w:r>
              <w:rPr>
                <w:rFonts w:hint="eastAsia"/>
                <w:b/>
                <w:color w:val="000000"/>
                <w:sz w:val="24"/>
                <w:lang w:eastAsia="zh-CN"/>
              </w:rPr>
              <w:t>采用最低价评标法</w:t>
            </w:r>
            <w:r>
              <w:rPr>
                <w:rFonts w:hint="eastAsia" w:ascii="宋体" w:hAnsi="宋体" w:eastAsia="宋体" w:cs="宋体"/>
                <w:color w:val="000000" w:themeColor="text1"/>
                <w:sz w:val="24"/>
                <w:szCs w:val="24"/>
                <w14:textFill>
                  <w14:solidFill>
                    <w14:schemeClr w14:val="tx1"/>
                  </w14:solidFill>
                </w14:textFill>
              </w:rPr>
              <w:t>（具体详见附件1）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招标代理费：招标代理费由中标人在领取中标通知书前按中标价的1.5%一次性缴清。</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577" w:type="dxa"/>
            <w:vAlign w:val="center"/>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本招标项目行政监督部门：相关部门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577" w:type="dxa"/>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ind w:left="360" w:hanging="360" w:hangingChars="15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1、若投标人提供的产品技术部分存在虚假应标情况，其所投产品将做废标处理。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7" w:type="dxa"/>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必须对其投标文件中提供各种资料、说明的真实性负责。在评标过程中，如有发现投标人有为谋取中标而提供虚假资料欺骗招标人和评委的行为，将取消其中标资格，其投标保证金将不予退还。定标后，招标人有可能对中标人投标文件中的承诺内容和证明材料进行核查，中标人应无条件配合招标人的核查工作，不得托词拒绝核查或隐瞒真实情况。若在中标后签订合同时，发现中标人是提供虚假材料谋取中标等违法违规行为，招标人将取消其中标人资格，其投标保证金将不予退还，给招标人造成损失的，还必须进行赔偿并负相关责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577" w:type="dxa"/>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ind w:left="360" w:hanging="360" w:hanging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其它要求：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577" w:type="dxa"/>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重大偏差和细微偏差界定：</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1、严格界定投标偏差。评标委员会应当根据招标文件，审查并逐项界定投标文件的全部投标偏差。投标偏差分为重大偏差和细微偏差。</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2、重大偏差。下列情况属于重大偏差：</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(1)投标文件未按招标文件要求加盖公章并由负责人或其书面授权的代理人签字的；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(2)投标联合体未提交联合体协议的；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(3)投标文件载明的招标项目完成期限超过招标文件规定的；</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(4)明显不符合技术规格、技术标准的要求；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(5)投标文件载明的货物包装方式、检验标准和方法等不符合招标文件的要求；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(6)投标文件附有招标人不能接受的条件；</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(7)不符合招标文件中规定的其他实质性要求。</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投标文件有上述情形之一的，应认定为未对招标文件作出实质性响应，作无效投标处理。</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577" w:type="dxa"/>
          </w:tcPr>
          <w:p>
            <w:pPr>
              <w:keepNext w:val="0"/>
              <w:keepLines w:val="0"/>
              <w:pageBreakBefore w:val="0"/>
              <w:widowControl w:val="0"/>
              <w:numPr>
                <w:ilvl w:val="0"/>
                <w:numId w:val="2"/>
              </w:numPr>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826" w:type="dxa"/>
            <w:vAlign w:val="center"/>
          </w:tcPr>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根据福建省财政厅闽财购办[2013]39号通知的规定，同一品牌同一型号产品只能由一家投标人参加。如果有多家代理商参加同一品牌同一型号产品投标的，应当作为一个投标人计算。</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在评标过程中，出现多家投标人用同一品牌同一型号产品参加投标的情况，由评标委员会按照以下原则现场确认一家投标人作为有效的投标人：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a.若不同投标人对同一品牌同一型号产品技术指标(参数)描述不一致的，应确定投标产品技术指标(参数)的真实性和唯一性，以符合技术指标(参数)真实性和唯一性的投标人参与下一阶段的评审。</w:t>
            </w:r>
          </w:p>
          <w:p>
            <w:pPr>
              <w:keepNext w:val="0"/>
              <w:keepLines w:val="0"/>
              <w:pageBreakBefore w:val="0"/>
              <w:widowControl w:val="0"/>
              <w:kinsoku/>
              <w:wordWrap/>
              <w:overflowPunct/>
              <w:topLinePunct w:val="0"/>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若不同投标人对同一品牌同一型号产品技术指标(参数)描述一致的，由评标委员会评议确认，符合资格要求和技术商务符合性要求且投标报价最低者为有效投标人。最低报价相同的情况下，由评标委员会按资格标准高低、商务服务优劣、技术指标响应情况顺序择优确定。</w:t>
            </w:r>
          </w:p>
        </w:tc>
      </w:tr>
    </w:tbl>
    <w:p>
      <w:pPr>
        <w:spacing w:line="360" w:lineRule="auto"/>
        <w:ind w:firstLine="482" w:firstLineChars="200"/>
        <w:rPr>
          <w:rFonts w:hint="eastAsia" w:ascii="宋体" w:hAnsi="宋体"/>
          <w:b/>
          <w:color w:val="000000"/>
          <w:sz w:val="24"/>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eastAsia="zh-CN"/>
          <w14:textFill>
            <w14:solidFill>
              <w14:schemeClr w14:val="tx1"/>
            </w14:solidFill>
          </w14:textFill>
        </w:rPr>
        <w:t>一</w:t>
      </w:r>
      <w:r>
        <w:rPr>
          <w:rFonts w:hint="eastAsia" w:ascii="宋体" w:hAnsi="宋体" w:cs="宋体"/>
          <w:b/>
          <w:color w:val="000000" w:themeColor="text1"/>
          <w:sz w:val="28"/>
          <w14:textFill>
            <w14:solidFill>
              <w14:schemeClr w14:val="tx1"/>
            </w14:solidFill>
          </w14:textFill>
        </w:rPr>
        <w:t>：</w:t>
      </w:r>
      <w:r>
        <w:rPr>
          <w:rFonts w:hint="eastAsia" w:ascii="宋体" w:hAnsi="宋体"/>
          <w:b/>
          <w:color w:val="000000"/>
          <w:sz w:val="24"/>
        </w:rPr>
        <w:t>最低评标价法是指以指以价格为主要因素确定成交候选人的评审方法，即在全部满足招标文件实质性要求前提下，依据统一的价格要素评定最低报价，以提出最低报价的报价人作为中标候选人或者中标人的评审方法。</w:t>
      </w:r>
    </w:p>
    <w:p>
      <w:pPr>
        <w:spacing w:line="360" w:lineRule="auto"/>
        <w:ind w:firstLine="482" w:firstLineChars="200"/>
        <w:rPr>
          <w:rFonts w:hint="eastAsia" w:ascii="宋体" w:hAnsi="宋体"/>
          <w:b/>
          <w:color w:val="000000"/>
          <w:sz w:val="24"/>
        </w:rPr>
      </w:pPr>
      <w:r>
        <w:rPr>
          <w:rFonts w:hint="eastAsia" w:ascii="宋体" w:hAnsi="宋体"/>
          <w:b/>
          <w:color w:val="000000"/>
          <w:sz w:val="24"/>
        </w:rPr>
        <w:t>招标评审考虑的主要因素如下：</w:t>
      </w:r>
    </w:p>
    <w:p>
      <w:pPr>
        <w:spacing w:line="360" w:lineRule="auto"/>
        <w:rPr>
          <w:rFonts w:hint="eastAsia" w:ascii="宋体" w:hAnsi="宋体"/>
          <w:b/>
          <w:color w:val="000000"/>
          <w:sz w:val="24"/>
        </w:rPr>
      </w:pPr>
      <w:r>
        <w:rPr>
          <w:rFonts w:hint="eastAsia" w:ascii="宋体" w:hAnsi="宋体"/>
          <w:b/>
          <w:color w:val="000000"/>
          <w:sz w:val="24"/>
        </w:rPr>
        <w:t>（1）服务期及付款方式和条件的偏差。</w:t>
      </w:r>
    </w:p>
    <w:p>
      <w:pPr>
        <w:spacing w:line="360" w:lineRule="auto"/>
        <w:rPr>
          <w:rFonts w:hint="eastAsia" w:ascii="宋体" w:hAnsi="宋体"/>
          <w:b/>
          <w:color w:val="000000"/>
          <w:sz w:val="24"/>
        </w:rPr>
      </w:pPr>
      <w:r>
        <w:rPr>
          <w:rFonts w:hint="eastAsia" w:ascii="宋体" w:hAnsi="宋体"/>
          <w:b/>
          <w:color w:val="000000"/>
          <w:sz w:val="24"/>
        </w:rPr>
        <w:t>（2</w:t>
      </w:r>
      <w:r>
        <w:rPr>
          <w:rFonts w:ascii="宋体" w:hAnsi="宋体"/>
          <w:b/>
          <w:color w:val="000000"/>
          <w:sz w:val="24"/>
        </w:rPr>
        <w:t>）</w:t>
      </w:r>
      <w:r>
        <w:rPr>
          <w:rFonts w:hint="eastAsia" w:ascii="宋体" w:hAnsi="宋体"/>
          <w:b/>
          <w:color w:val="000000"/>
          <w:sz w:val="24"/>
        </w:rPr>
        <w:t>相关服务的费用。</w:t>
      </w:r>
    </w:p>
    <w:p>
      <w:pPr>
        <w:spacing w:line="360" w:lineRule="auto"/>
        <w:rPr>
          <w:rFonts w:hint="eastAsia" w:ascii="宋体" w:hAnsi="宋体"/>
          <w:b/>
          <w:color w:val="000000"/>
          <w:sz w:val="24"/>
        </w:rPr>
      </w:pPr>
      <w:r>
        <w:rPr>
          <w:rFonts w:hint="eastAsia" w:ascii="宋体" w:hAnsi="宋体"/>
          <w:b/>
          <w:color w:val="000000"/>
          <w:sz w:val="24"/>
        </w:rPr>
        <w:t>（3）符合招标文件规定的。</w:t>
      </w:r>
    </w:p>
    <w:p>
      <w:pPr>
        <w:spacing w:line="360" w:lineRule="auto"/>
        <w:rPr>
          <w:rFonts w:hint="eastAsia" w:ascii="宋体" w:hAnsi="宋体"/>
          <w:b/>
          <w:color w:val="000000"/>
          <w:sz w:val="24"/>
        </w:rPr>
      </w:pPr>
      <w:r>
        <w:rPr>
          <w:rFonts w:hint="eastAsia" w:ascii="宋体" w:hAnsi="宋体"/>
          <w:b/>
          <w:color w:val="000000"/>
          <w:sz w:val="24"/>
        </w:rPr>
        <w:t>（4）其他因素。</w:t>
      </w:r>
    </w:p>
    <w:p>
      <w:pPr>
        <w:spacing w:line="360" w:lineRule="auto"/>
        <w:rPr>
          <w:rFonts w:hint="eastAsia" w:ascii="宋体" w:hAnsi="宋体"/>
          <w:color w:val="000000"/>
          <w:sz w:val="24"/>
        </w:rPr>
      </w:pPr>
      <w:r>
        <w:rPr>
          <w:rFonts w:hint="eastAsia" w:ascii="宋体" w:hAnsi="宋体"/>
          <w:b/>
          <w:color w:val="000000"/>
          <w:sz w:val="24"/>
        </w:rPr>
        <w:t>（一）</w:t>
      </w:r>
      <w:r>
        <w:rPr>
          <w:rFonts w:hint="eastAsia" w:ascii="宋体" w:hAnsi="宋体"/>
          <w:color w:val="000000"/>
          <w:sz w:val="24"/>
        </w:rPr>
        <w:t>本批招标在同等情况下，优先采购“节能、环境标志产品政府采购清单”、“节能产品政府采购清单”、“ 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265"/>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957" w:type="dxa"/>
            <w:gridSpan w:val="2"/>
            <w:noWrap w:val="0"/>
            <w:vAlign w:val="center"/>
          </w:tcPr>
          <w:p>
            <w:pPr>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同一合同包内的节能、减排、环境标志、产品报价总金额占合同包报价总金额</w:t>
            </w:r>
          </w:p>
        </w:tc>
        <w:tc>
          <w:tcPr>
            <w:tcW w:w="4303" w:type="dxa"/>
            <w:noWrap w:val="0"/>
            <w:vAlign w:val="center"/>
          </w:tcPr>
          <w:p>
            <w:pPr>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评审优惠内容及幅度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1692" w:type="dxa"/>
            <w:vMerge w:val="restart"/>
            <w:noWrap w:val="0"/>
            <w:vAlign w:val="center"/>
          </w:tcPr>
          <w:p>
            <w:pPr>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最低评标价法</w:t>
            </w:r>
          </w:p>
        </w:tc>
        <w:tc>
          <w:tcPr>
            <w:tcW w:w="3265"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10%(含10%)以下</w:t>
            </w:r>
          </w:p>
        </w:tc>
        <w:tc>
          <w:tcPr>
            <w:tcW w:w="4303"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给予每个单项投标报价3%的价格扣除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1692" w:type="dxa"/>
            <w:vMerge w:val="continue"/>
            <w:noWrap w:val="0"/>
            <w:vAlign w:val="center"/>
          </w:tcPr>
          <w:p>
            <w:pPr>
              <w:spacing w:line="360" w:lineRule="auto"/>
              <w:jc w:val="center"/>
              <w:rPr>
                <w:rFonts w:hint="eastAsia" w:ascii="宋体" w:hAnsi="宋体" w:cs="宋体"/>
                <w:color w:val="000000"/>
                <w:kern w:val="0"/>
                <w:sz w:val="24"/>
                <w:szCs w:val="24"/>
              </w:rPr>
            </w:pPr>
          </w:p>
        </w:tc>
        <w:tc>
          <w:tcPr>
            <w:tcW w:w="3265"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10%-30%(含30%)</w:t>
            </w:r>
          </w:p>
        </w:tc>
        <w:tc>
          <w:tcPr>
            <w:tcW w:w="4303"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给予每个单项投标报价6%的价格扣除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692" w:type="dxa"/>
            <w:vMerge w:val="continue"/>
            <w:noWrap w:val="0"/>
            <w:vAlign w:val="center"/>
          </w:tcPr>
          <w:p>
            <w:pPr>
              <w:spacing w:line="360" w:lineRule="auto"/>
              <w:jc w:val="center"/>
              <w:rPr>
                <w:rFonts w:hint="eastAsia" w:ascii="宋体" w:hAnsi="宋体" w:cs="宋体"/>
                <w:color w:val="000000"/>
                <w:kern w:val="0"/>
                <w:sz w:val="24"/>
                <w:szCs w:val="24"/>
              </w:rPr>
            </w:pPr>
          </w:p>
        </w:tc>
        <w:tc>
          <w:tcPr>
            <w:tcW w:w="3265"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30%-50%(含50%)</w:t>
            </w:r>
          </w:p>
        </w:tc>
        <w:tc>
          <w:tcPr>
            <w:tcW w:w="4303" w:type="dxa"/>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给予每个单项投标报价8%的价格扣除</w:t>
            </w:r>
          </w:p>
        </w:tc>
      </w:tr>
    </w:tbl>
    <w:p>
      <w:pPr>
        <w:numPr>
          <w:ilvl w:val="0"/>
          <w:numId w:val="4"/>
        </w:numPr>
        <w:spacing w:line="360" w:lineRule="auto"/>
        <w:rPr>
          <w:rFonts w:ascii="宋体" w:hAnsi="宋体"/>
          <w:b/>
          <w:color w:val="000000"/>
          <w:sz w:val="24"/>
        </w:rPr>
      </w:pPr>
      <w:r>
        <w:rPr>
          <w:rFonts w:hint="eastAsia" w:ascii="宋体" w:hAnsi="宋体"/>
          <w:b/>
          <w:color w:val="000000"/>
          <w:sz w:val="24"/>
        </w:rPr>
        <w:t>中小企业优惠政策：</w:t>
      </w:r>
    </w:p>
    <w:p>
      <w:pPr>
        <w:adjustRightInd w:val="0"/>
        <w:snapToGrid w:val="0"/>
        <w:spacing w:line="360" w:lineRule="auto"/>
        <w:ind w:right="21" w:rightChars="10" w:firstLine="472" w:firstLineChars="196"/>
        <w:rPr>
          <w:rFonts w:ascii="宋体" w:hAnsi="宋体"/>
          <w:color w:val="000000"/>
          <w:kern w:val="0"/>
          <w:sz w:val="24"/>
        </w:rPr>
      </w:pPr>
      <w:r>
        <w:rPr>
          <w:rFonts w:hint="eastAsia" w:ascii="宋体" w:hAnsi="宋体"/>
          <w:b/>
          <w:color w:val="000000"/>
          <w:sz w:val="24"/>
        </w:rPr>
        <w:t>根据财政部、工信部印发的《政府采购促进中小企业发展暂行办法》(财库【2011】181号)文件精神，</w:t>
      </w:r>
      <w:r>
        <w:rPr>
          <w:rFonts w:hint="eastAsia" w:ascii="宋体" w:hAnsi="宋体"/>
          <w:color w:val="000000"/>
          <w:kern w:val="0"/>
          <w:sz w:val="24"/>
        </w:rPr>
        <w:t>对于</w:t>
      </w:r>
      <w:r>
        <w:rPr>
          <w:rFonts w:hint="eastAsia" w:ascii="宋体" w:hAnsi="宋体"/>
          <w:b/>
          <w:color w:val="000000"/>
          <w:kern w:val="0"/>
          <w:sz w:val="24"/>
          <w:u w:val="single"/>
        </w:rPr>
        <w:t>非专门面向中小企业</w:t>
      </w:r>
      <w:r>
        <w:rPr>
          <w:rFonts w:hint="eastAsia" w:ascii="宋体" w:hAnsi="宋体"/>
          <w:color w:val="000000"/>
          <w:kern w:val="0"/>
          <w:sz w:val="24"/>
        </w:rPr>
        <w:t>的项目，对小型和微型企业产品的价格给予</w:t>
      </w:r>
      <w:r>
        <w:rPr>
          <w:rFonts w:hint="eastAsia" w:ascii="宋体" w:hAnsi="宋体"/>
          <w:color w:val="000000"/>
          <w:kern w:val="0"/>
          <w:sz w:val="24"/>
          <w:u w:val="single"/>
        </w:rPr>
        <w:t xml:space="preserve"> </w:t>
      </w:r>
      <w:r>
        <w:rPr>
          <w:rFonts w:hint="eastAsia" w:ascii="宋体" w:hAnsi="宋体"/>
          <w:b/>
          <w:color w:val="000000"/>
          <w:kern w:val="0"/>
          <w:sz w:val="24"/>
          <w:u w:val="single"/>
        </w:rPr>
        <w:t xml:space="preserve">6% </w:t>
      </w:r>
      <w:r>
        <w:rPr>
          <w:rFonts w:hint="eastAsia" w:ascii="宋体" w:hAnsi="宋体"/>
          <w:color w:val="000000"/>
          <w:kern w:val="0"/>
          <w:sz w:val="24"/>
        </w:rPr>
        <w:t>的扣除，用扣除后的价格参与价格分的评审。</w:t>
      </w:r>
      <w:r>
        <w:rPr>
          <w:rFonts w:hint="eastAsia" w:ascii="宋体" w:hAnsi="宋体"/>
          <w:color w:val="000000"/>
          <w:sz w:val="24"/>
        </w:rPr>
        <w:t>(即所投品目号产品</w:t>
      </w:r>
      <w:r>
        <w:rPr>
          <w:rFonts w:hint="eastAsia" w:ascii="宋体" w:hAnsi="宋体"/>
          <w:b/>
          <w:color w:val="000000"/>
          <w:sz w:val="24"/>
          <w:u w:val="single"/>
        </w:rPr>
        <w:t>属于小型和微型企业</w:t>
      </w:r>
      <w:r>
        <w:rPr>
          <w:rFonts w:hint="eastAsia" w:ascii="宋体" w:hAnsi="宋体"/>
          <w:color w:val="000000"/>
          <w:sz w:val="24"/>
        </w:rPr>
        <w:t>产品的，按其品目号的合计投标价格的</w:t>
      </w:r>
      <w:r>
        <w:rPr>
          <w:rFonts w:hint="eastAsia" w:ascii="宋体" w:hAnsi="宋体"/>
          <w:b/>
          <w:color w:val="000000"/>
          <w:kern w:val="0"/>
          <w:sz w:val="24"/>
          <w:u w:val="single"/>
        </w:rPr>
        <w:t>6%进行</w:t>
      </w:r>
      <w:r>
        <w:rPr>
          <w:rFonts w:hint="eastAsia" w:ascii="宋体" w:hAnsi="宋体"/>
          <w:color w:val="000000"/>
          <w:sz w:val="24"/>
        </w:rPr>
        <w:t>扣除，若所提供的属于小型和微型企业产品仅是构成投标产品的部件、组件或零件的，则该投标产品不享受该政策)</w:t>
      </w:r>
      <w:r>
        <w:rPr>
          <w:rFonts w:hint="eastAsia" w:ascii="宋体" w:hAnsi="宋体"/>
          <w:color w:val="000000"/>
          <w:kern w:val="0"/>
          <w:sz w:val="24"/>
        </w:rPr>
        <w:t>。</w:t>
      </w:r>
    </w:p>
    <w:p>
      <w:pPr>
        <w:numPr>
          <w:ilvl w:val="0"/>
          <w:numId w:val="5"/>
        </w:numPr>
        <w:spacing w:line="360" w:lineRule="auto"/>
        <w:rPr>
          <w:rFonts w:ascii="宋体" w:hAnsi="宋体"/>
          <w:b/>
          <w:color w:val="000000"/>
          <w:kern w:val="0"/>
          <w:sz w:val="24"/>
        </w:rPr>
      </w:pPr>
      <w:r>
        <w:rPr>
          <w:rFonts w:hint="eastAsia" w:ascii="宋体" w:hAnsi="宋体"/>
          <w:b/>
          <w:color w:val="000000"/>
          <w:kern w:val="0"/>
          <w:sz w:val="24"/>
        </w:rPr>
        <w:t>享受价格扣除的投标人应当同时符合以下条件：</w:t>
      </w:r>
    </w:p>
    <w:p>
      <w:pPr>
        <w:spacing w:line="360" w:lineRule="auto"/>
        <w:rPr>
          <w:rFonts w:ascii="宋体" w:hAnsi="宋体"/>
          <w:color w:val="000000"/>
          <w:kern w:val="0"/>
          <w:sz w:val="24"/>
        </w:rPr>
      </w:pPr>
      <w:r>
        <w:rPr>
          <w:rFonts w:hint="eastAsia" w:ascii="宋体" w:hAnsi="宋体"/>
          <w:color w:val="000000"/>
          <w:kern w:val="0"/>
          <w:sz w:val="24"/>
        </w:rPr>
        <w:t xml:space="preserve">①、符合《中小企业划分标准》中小、微企业的标准(工信部联企业〔2011〕300号)】； </w:t>
      </w:r>
    </w:p>
    <w:p>
      <w:pPr>
        <w:spacing w:line="360" w:lineRule="auto"/>
        <w:rPr>
          <w:rFonts w:ascii="宋体" w:hAnsi="宋体"/>
          <w:color w:val="000000"/>
          <w:kern w:val="0"/>
          <w:sz w:val="24"/>
        </w:rPr>
      </w:pPr>
      <w:r>
        <w:rPr>
          <w:rFonts w:hint="eastAsia" w:ascii="宋体" w:hAnsi="宋体"/>
          <w:color w:val="000000"/>
          <w:kern w:val="0"/>
          <w:sz w:val="24"/>
        </w:rPr>
        <w:t>②、提供本企业制造的货物、承担的工程或者服务，或者提供其他中小企业制造的货物。</w:t>
      </w:r>
    </w:p>
    <w:p>
      <w:pPr>
        <w:spacing w:line="360" w:lineRule="auto"/>
        <w:ind w:firstLine="482" w:firstLineChars="200"/>
        <w:rPr>
          <w:rFonts w:ascii="宋体" w:hAnsi="宋体"/>
          <w:b/>
          <w:color w:val="000000"/>
          <w:sz w:val="24"/>
        </w:rPr>
      </w:pPr>
      <w:r>
        <w:rPr>
          <w:rFonts w:hint="eastAsia" w:ascii="宋体" w:hAnsi="宋体"/>
          <w:b/>
          <w:color w:val="000000"/>
          <w:kern w:val="0"/>
          <w:sz w:val="24"/>
        </w:rPr>
        <w:t>2、下述情形，不享受中小企业优惠政策：</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①、投标产品为进口产品的；</w:t>
      </w:r>
    </w:p>
    <w:p>
      <w:pPr>
        <w:spacing w:line="36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kern w:val="0"/>
          <w:sz w:val="24"/>
        </w:rPr>
        <w:t>②、</w:t>
      </w:r>
      <w:r>
        <w:rPr>
          <w:rFonts w:hint="eastAsia" w:ascii="宋体" w:hAnsi="宋体"/>
          <w:color w:val="000000"/>
          <w:sz w:val="24"/>
        </w:rPr>
        <w:t>组成联合体的大中型企业和其他自然人、法人或者其他组织，与小型、微型企业之间存在投资关系的；</w:t>
      </w:r>
    </w:p>
    <w:p>
      <w:pPr>
        <w:spacing w:line="360" w:lineRule="auto"/>
        <w:ind w:firstLine="480" w:firstLineChars="200"/>
        <w:rPr>
          <w:rFonts w:ascii="宋体" w:hAnsi="宋体"/>
          <w:color w:val="000000"/>
          <w:sz w:val="24"/>
        </w:rPr>
      </w:pPr>
      <w:r>
        <w:rPr>
          <w:rFonts w:hint="eastAsia" w:ascii="宋体" w:hAnsi="宋体"/>
          <w:color w:val="000000"/>
          <w:kern w:val="0"/>
          <w:sz w:val="24"/>
        </w:rPr>
        <w:t>③、</w:t>
      </w:r>
      <w:r>
        <w:rPr>
          <w:rFonts w:hint="eastAsia" w:ascii="宋体" w:hAnsi="宋体"/>
          <w:color w:val="000000"/>
          <w:sz w:val="24"/>
        </w:rPr>
        <w:t>小型、微型企业将获得政府采购合同分包或转包给大型、中型企业，中型企业分包或转包给大型企业的；</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④、中型企业不享受该项优惠政策。小型、微型企业提供中型企业制造的货物的，视同为中型企业。</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⑤、投标产品为使用大型企业注册商标的货物的。</w:t>
      </w:r>
    </w:p>
    <w:p>
      <w:pPr>
        <w:spacing w:line="360" w:lineRule="auto"/>
        <w:rPr>
          <w:rFonts w:ascii="宋体" w:hAnsi="宋体"/>
          <w:b/>
          <w:color w:val="000000"/>
          <w:kern w:val="0"/>
          <w:sz w:val="24"/>
        </w:rPr>
      </w:pPr>
      <w:r>
        <w:rPr>
          <w:rFonts w:hint="eastAsia" w:ascii="宋体" w:hAnsi="宋体"/>
          <w:b/>
          <w:color w:val="000000"/>
          <w:kern w:val="0"/>
          <w:sz w:val="24"/>
        </w:rPr>
        <w:t>3、投标人应提供下述证明材料：未提供或提供的证明材料不符合规定的不予价格扣除。</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①、《中小企业声明函》；</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②、 证明材料：</w:t>
      </w:r>
      <w:r>
        <w:rPr>
          <w:rFonts w:hint="eastAsia" w:ascii="宋体" w:hAnsi="宋体"/>
          <w:color w:val="000000"/>
          <w:sz w:val="24"/>
        </w:rPr>
        <w:t>根据【</w:t>
      </w:r>
      <w:r>
        <w:rPr>
          <w:rFonts w:hint="eastAsia" w:ascii="宋体" w:hAnsi="宋体"/>
          <w:color w:val="000000"/>
          <w:kern w:val="0"/>
          <w:sz w:val="24"/>
        </w:rPr>
        <w:t>《关于印发中小企业划型标准规定的通知》(工信部联企业〔2011〕300号)】规定的划型标准，不同行业的企业应按下列要求提供相应的证明材料：</w:t>
      </w:r>
      <w:r>
        <w:rPr>
          <w:rFonts w:hint="eastAsia" w:ascii="宋体" w:hAnsi="宋体"/>
          <w:b/>
          <w:color w:val="000000"/>
          <w:kern w:val="0"/>
          <w:sz w:val="24"/>
        </w:rPr>
        <w:t>(材料应加盖本企业公章，复印件无效)</w:t>
      </w:r>
    </w:p>
    <w:p>
      <w:pPr>
        <w:spacing w:line="360" w:lineRule="auto"/>
        <w:ind w:firstLine="482" w:firstLineChars="200"/>
        <w:rPr>
          <w:rFonts w:ascii="宋体" w:hAnsi="宋体"/>
          <w:color w:val="000000"/>
          <w:kern w:val="0"/>
          <w:sz w:val="24"/>
        </w:rPr>
      </w:pPr>
      <w:r>
        <w:rPr>
          <w:rFonts w:hint="eastAsia" w:ascii="宋体" w:hAnsi="宋体"/>
          <w:b/>
          <w:color w:val="000000"/>
          <w:kern w:val="0"/>
          <w:sz w:val="24"/>
        </w:rPr>
        <w:t>涉及营业收入、资产总额划型的企业：</w:t>
      </w:r>
      <w:r>
        <w:rPr>
          <w:rFonts w:hint="eastAsia" w:ascii="宋体" w:hAnsi="宋体"/>
          <w:color w:val="000000"/>
          <w:kern w:val="0"/>
          <w:sz w:val="24"/>
        </w:rPr>
        <w:t>应提供该企业</w:t>
      </w:r>
      <w:r>
        <w:rPr>
          <w:rFonts w:hint="eastAsia" w:ascii="宋体" w:hAnsi="宋体"/>
          <w:color w:val="000000"/>
          <w:sz w:val="24"/>
        </w:rPr>
        <w:t>经有资质的第三方会计师事务所审计的</w:t>
      </w:r>
      <w:r>
        <w:rPr>
          <w:rFonts w:hint="eastAsia" w:ascii="宋体" w:hAnsi="宋体"/>
          <w:color w:val="000000"/>
          <w:kern w:val="0"/>
          <w:sz w:val="24"/>
        </w:rPr>
        <w:t>上一年度</w:t>
      </w:r>
      <w:r>
        <w:rPr>
          <w:rFonts w:hint="eastAsia" w:ascii="宋体" w:hAnsi="宋体"/>
          <w:color w:val="000000"/>
          <w:sz w:val="24"/>
        </w:rPr>
        <w:t>财务会计报表(应能体现营业收入、资产总额)</w:t>
      </w:r>
      <w:r>
        <w:rPr>
          <w:rFonts w:hint="eastAsia" w:ascii="宋体" w:hAnsi="宋体"/>
          <w:color w:val="000000"/>
          <w:kern w:val="0"/>
          <w:sz w:val="24"/>
        </w:rPr>
        <w:t>；</w:t>
      </w:r>
    </w:p>
    <w:p>
      <w:pPr>
        <w:spacing w:line="360" w:lineRule="auto"/>
        <w:ind w:firstLine="482" w:firstLineChars="200"/>
        <w:rPr>
          <w:rFonts w:ascii="宋体" w:hAnsi="宋体"/>
          <w:b/>
          <w:color w:val="000000"/>
          <w:sz w:val="24"/>
        </w:rPr>
      </w:pPr>
      <w:r>
        <w:rPr>
          <w:rFonts w:hint="eastAsia" w:ascii="宋体" w:hAnsi="宋体"/>
          <w:b/>
          <w:color w:val="000000"/>
          <w:kern w:val="0"/>
          <w:sz w:val="24"/>
        </w:rPr>
        <w:t>涉及从业人员划型的企业：</w:t>
      </w:r>
      <w:r>
        <w:rPr>
          <w:rFonts w:hint="eastAsia" w:ascii="宋体" w:hAnsi="宋体"/>
          <w:color w:val="000000"/>
          <w:kern w:val="0"/>
          <w:sz w:val="24"/>
        </w:rPr>
        <w:t>应提供该企业</w:t>
      </w:r>
      <w:r>
        <w:rPr>
          <w:rFonts w:hint="eastAsia" w:ascii="宋体" w:hAnsi="宋体"/>
          <w:color w:val="000000"/>
          <w:sz w:val="24"/>
        </w:rPr>
        <w:t>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hAnsi="宋体"/>
          <w:color w:val="000000"/>
          <w:sz w:val="24"/>
          <w:szCs w:val="20"/>
        </w:rPr>
        <w:t>③、投标人应按“中小企业产品明细表”中要求按品目号逐项填写，否则不予价格扣除。</w:t>
      </w:r>
    </w:p>
    <w:p>
      <w:pPr>
        <w:spacing w:line="520" w:lineRule="exact"/>
        <w:ind w:firstLine="3514" w:firstLineChars="125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  说明</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 适用范围</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1.1本招标文件仅适用于投标邀请中所叙述项目的货物及服务采购。</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定义</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“采购人”系指组织本次招标活动的业主方。</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 “招标代理人”系指本次招标采购项目活动的组织方。</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 “投标人”系指购买了本招标文件，且已经提交本次投标文件的制造商或供货商。</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 “货物”系指投标人按招标文件规定向招标人提供的一切设备、机械、仪器仪表、备品备件、工具、手册及其它有关技术资料和材料。</w:t>
      </w:r>
    </w:p>
    <w:p>
      <w:pPr>
        <w:numPr>
          <w:ilvl w:val="0"/>
          <w:numId w:val="6"/>
        </w:numPr>
        <w:spacing w:line="5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合格的投标人及合格的投标产品</w:t>
      </w:r>
    </w:p>
    <w:p>
      <w:pPr>
        <w:spacing w:line="540" w:lineRule="exact"/>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3.1合格的投标人：按投标人须知前附表序号2资格标准要求</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3.1.1投标产品如属于国家强制性产品认证目录范围内的产品，投标人应提供所投产品的《中国强制性产品认证证书》(即3C认证证书) 复印件。</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3.1.2根据《国务院办公厅关于建立政府强制采购节能产品制度的通知》(国办发{2007}51号)和财政部、发展改革委发布的《节能产品政府采购实施意见》(财库{2004}185号)的规定，本次采购项目中有属政府强制采购节能产品的，投标人所投标产品必须是最新期《节能产品政府采购清单》内产品；</w:t>
      </w:r>
    </w:p>
    <w:p>
      <w:pPr>
        <w:spacing w:line="36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3.1.3根据质检总局、财政部、认监委《关于调整信息安全产品强制性认证实施要求的公告》(2009年第33号)的规定，采购项目若属于使用财政性资金采购信息安全产品(如防火墙、网络安全隔离卡与线路选择器、安全隔离与信息交换、安全路由器、智能卡COS、数据备份与恢复、安全操作系统、安全数据库系统、反垃圾邮件、入侵检测系统、网络脆弱性扫描、安全审计、网站恢复等13种产品)，应当采购经国家认证的信息安全产品，同时要求产品投标人提供由中国信息安全认证中心按国家标准认证颁发的有效认证证书。</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3.1.4 国家有其它强制性认证要求的应符合规定。</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3.2一个投标人只能提交一份投标文件。但如果投标人之间存在下列互为关联关系的情形之一的，不得同时参加本项目投标：</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 法定代表人为同一人的两个及两个以上法人；</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母公司、直接或间接持股50％及以上的被投资公司；</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 均为同一家母公司直接或间接持股50％及以上的被投资公司。</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3.3投标人不得与本次招标项下设计、编制技术规格和其它文件的公司或提供咨询服务的公司包括其附属机构有任何关联。</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3.4投标代表在同一个项目中只能接受一个投标人的委托参加投标。</w:t>
      </w:r>
    </w:p>
    <w:p>
      <w:pPr>
        <w:spacing w:line="500" w:lineRule="exact"/>
        <w:ind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3.5、本次招标不允许联合体进行投标。</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 投标费用</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 投标人自行承担其参加投标所涉及的一切费用。</w:t>
      </w:r>
    </w:p>
    <w:p>
      <w:pPr>
        <w:spacing w:line="5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4.2在任何情况下，采购机构和采购人对投标人发生的一切费用不承担义务和责任。</w:t>
      </w:r>
    </w:p>
    <w:p>
      <w:pPr>
        <w:spacing w:line="54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  招标文件</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 招标文件的组成</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5.1招标文件用以阐明所需货物及服务招标程序和合同主要条款。招标文件由下述部分组成：</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⑴ 投标邀请</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⑵ 投标人须知 </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⑶ 招标内容及要求</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⑷ 合同主要条款</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⑸ 投标文件格式</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bookmarkStart w:id="0" w:name="_Toc430422413"/>
      <w:bookmarkStart w:id="1" w:name="_Toc430492126"/>
      <w:bookmarkStart w:id="2" w:name="_Toc430488851"/>
      <w:bookmarkStart w:id="3" w:name="_Toc415567497"/>
      <w:bookmarkStart w:id="4" w:name="_Toc430490612"/>
      <w:bookmarkStart w:id="5" w:name="_Toc430488644"/>
      <w:bookmarkStart w:id="6" w:name="_Toc430489119"/>
      <w:r>
        <w:rPr>
          <w:rFonts w:hint="eastAsia" w:asciiTheme="minorEastAsia" w:hAnsiTheme="minorEastAsia" w:eastAsiaTheme="minorEastAsia" w:cstheme="minorEastAsia"/>
          <w:color w:val="000000" w:themeColor="text1"/>
          <w:sz w:val="24"/>
          <w14:textFill>
            <w14:solidFill>
              <w14:schemeClr w14:val="tx1"/>
            </w14:solidFill>
          </w14:textFill>
        </w:rPr>
        <w:t>6.</w:t>
      </w:r>
      <w:bookmarkEnd w:id="0"/>
      <w:bookmarkEnd w:id="1"/>
      <w:bookmarkEnd w:id="2"/>
      <w:bookmarkEnd w:id="3"/>
      <w:bookmarkEnd w:id="4"/>
      <w:bookmarkEnd w:id="5"/>
      <w:bookmarkEnd w:id="6"/>
      <w:r>
        <w:rPr>
          <w:rFonts w:hint="eastAsia" w:asciiTheme="minorEastAsia" w:hAnsiTheme="minorEastAsia" w:eastAsiaTheme="minorEastAsia" w:cstheme="minorEastAsia"/>
          <w:color w:val="000000" w:themeColor="text1"/>
          <w:sz w:val="24"/>
          <w14:textFill>
            <w14:solidFill>
              <w14:schemeClr w14:val="tx1"/>
            </w14:solidFill>
          </w14:textFill>
        </w:rPr>
        <w:t xml:space="preserve"> 招标文件的澄清</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6.1投标人对招标文件如有疑点，可要求澄清。要求澄清应按投标邀请中载明的地址以书面形式(包括信函、电报或传真，下同)通知招标代理人。招标代理人将视情况在投标截止时间15个日历日前将不标明查询来源的书面答复发给所有投标人，并在采购信息发布的媒体上发布澄清公告。该澄清内容为招标文件的组成部分。</w:t>
      </w:r>
    </w:p>
    <w:p>
      <w:pPr>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bookmarkStart w:id="7" w:name="_Toc430490613"/>
      <w:bookmarkStart w:id="8" w:name="_Toc430492127"/>
      <w:bookmarkStart w:id="9" w:name="_Toc430489120"/>
      <w:bookmarkStart w:id="10" w:name="_Toc430488852"/>
      <w:bookmarkStart w:id="11" w:name="_Toc415567498"/>
      <w:bookmarkStart w:id="12" w:name="_Toc430422414"/>
      <w:bookmarkStart w:id="13" w:name="_Toc430488645"/>
      <w:r>
        <w:rPr>
          <w:rFonts w:hint="eastAsia" w:asciiTheme="minorEastAsia" w:hAnsiTheme="minorEastAsia" w:eastAsiaTheme="minorEastAsia" w:cstheme="minorEastAsia"/>
          <w:color w:val="000000" w:themeColor="text1"/>
          <w:sz w:val="24"/>
          <w14:textFill>
            <w14:solidFill>
              <w14:schemeClr w14:val="tx1"/>
            </w14:solidFill>
          </w14:textFill>
        </w:rPr>
        <w:t>7. 招标文件的修改</w:t>
      </w:r>
      <w:bookmarkEnd w:id="7"/>
      <w:bookmarkEnd w:id="8"/>
      <w:bookmarkEnd w:id="9"/>
      <w:bookmarkEnd w:id="10"/>
      <w:bookmarkEnd w:id="11"/>
      <w:bookmarkEnd w:id="12"/>
      <w:bookmarkEnd w:id="13"/>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7.1至投标截止日期前15日，招标代理人可主动或依投标人要求澄清的问题而修改招标文件，并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7.2 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招标人和投标人受投标截止期制约的所有权利和义务均应延长至新的截止日期。</w:t>
      </w:r>
    </w:p>
    <w:p>
      <w:pPr>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三、  投标文件的编写</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 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8.2招标人不接受有任何可选择性的报价，</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8.3中标人应保证招标人和招标代理人不受到第三方关于侵犯专利权的指控，任何第三方如果提出指控，中标人应与第三方交涉，承担可能发生的一切法律责任、费用和后果，并赔偿招标人和招标代理人的损失。</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8.4投标人不得以任何形式向与本项目无关的其他单位或人员提供招标文件及所附的有关资料，如违反，必须赔偿招标人和招标代理人的所有损失，且招标人和招标代理人保留追究法律责任的权力。</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8．5投标项目有品牌及规格型号的应与国家规定部门核发证件上的品牌及规格型号相一致。投标人提供评委无法认定的名称及规格型号，将被视为未实质性响应招标要求。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8．6投标人对招标要求应该响应的内容采取回避，或对本应提供的技术数据采取文字叙述答非所问、含糊不清、模凌两可的，将被视为未实质性响应招标要求。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8.7投标人随同投标文件提供的技术资料(含法定检测机构的测试报告、鉴定文件等)必须规范、完整，不能模棱两可、似是而非，否则将被视为未实质性响应招标要求。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8.8投标人应详细说明其投标产品的品牌型号、规格、配置、技术参数、性能指标、产地、制造商名称等。</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8.9投标人提供的产品制造标准、环保节能标准及技术规范等必须符合相应的国家标准、行业标准及规范要求。</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 投标文件语言</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9.1投标文件应用中文书写。投标文件中所附或所引用的原件不是中文时，应附中文译本，否则将不予采纳所引用的内容。</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9.2各种计量单位及符号应采用国际上统一使用的公制计量单位和符号。</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 投标文件的组成</w:t>
      </w:r>
    </w:p>
    <w:p>
      <w:pPr>
        <w:spacing w:line="4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10.1投标文件应包括下列部分：</w:t>
      </w:r>
    </w:p>
    <w:p>
      <w:pPr>
        <w:spacing w:line="24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第一部分 报价部分（单独编制装订胶装成册并密封）：</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（1）开标一览表</w:t>
      </w:r>
    </w:p>
    <w:p>
      <w:pPr>
        <w:spacing w:line="24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14:textFill>
            <w14:solidFill>
              <w14:schemeClr w14:val="tx1"/>
            </w14:solidFill>
          </w14:textFill>
        </w:rPr>
        <w:t>（单独编制装订胶装成册并密封）：</w:t>
      </w:r>
    </w:p>
    <w:p>
      <w:pPr>
        <w:pStyle w:val="28"/>
        <w:widowControl/>
        <w:spacing w:before="100" w:after="100" w:line="24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（1）投标书</w:t>
      </w:r>
    </w:p>
    <w:p>
      <w:pPr>
        <w:pStyle w:val="28"/>
        <w:widowControl/>
        <w:spacing w:before="100" w:after="100" w:line="24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（2）投标人的资格及资信证明文件</w:t>
      </w:r>
    </w:p>
    <w:p>
      <w:pPr>
        <w:pStyle w:val="28"/>
        <w:widowControl/>
        <w:spacing w:before="100" w:after="100" w:line="240" w:lineRule="auto"/>
        <w:ind w:firstLine="480" w:firstLineChars="20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（3）投标保证金</w:t>
      </w:r>
    </w:p>
    <w:p>
      <w:pPr>
        <w:spacing w:line="240" w:lineRule="auto"/>
        <w:ind w:firstLine="48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第三部分 技术商务部分文件（单独编制装订胶装成册并密封</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 货物说明一览表</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（2）供货范围清单 </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（3）技术规格偏离表</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（4）商务偏离表</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（5）招标服务费承诺书</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（6）退回保证金说明函</w:t>
      </w:r>
    </w:p>
    <w:p>
      <w:pPr>
        <w:spacing w:line="240" w:lineRule="auto"/>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（7）招标文件和法律法规要求提交的其他文件</w:t>
      </w:r>
    </w:p>
    <w:p>
      <w:pPr>
        <w:spacing w:line="24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10.3投标文件的“报价部分”、</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“技术商务部分”必须分别装订成册，分册密封提交，否则，其投标视为无效投标。</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 投标有效期</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11.1投标文件从投标人须知前附表第5项所规定的投标截止期之后开始生效，在投标人须知前附表第4项所规定的期限内保持有效。有效期不足将导致其投标文件被拒绝。</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11.2特殊情况下招标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 投标保证金</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 投标保证金为投标文件的组成部分之一。</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12.2 投标人应在提交投标文件之前向招标代理人缴交投标人须知前附表第5项要求的投标保证金。</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12.3 投标保证金用于保护本次招标活动免受投标人的行为而引起的风险。</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12.4投标保证金以转账或电汇形式提交，不直接接受现金或汇票；保证金以投标文件递交截止时间前到帐为准。投标人在缴纳保证金时必须以自己的账户或自己的名称缴纳，不得以投标代表个人的名称缴纳。</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12.5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12.6未按规定缴交投标保证金的投标，将被视为无效投标。</w:t>
      </w:r>
    </w:p>
    <w:p>
      <w:pPr>
        <w:spacing w:line="240" w:lineRule="auto"/>
        <w:ind w:left="239" w:leftChars="114"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12.7招标代理人将在中标通知书发出之日后予以原额无息退还中标人以外的投标人的投标保</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证金。</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12.8确定中标结果后，中标人凭招标人开具的购销合同和验收报告，中标人的投标保证金予以原额无息退还。</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12.9投标保证金的有效期为投标有效期满后的90个日历日。</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12.10退回保证金时投标人所提供的账户必须是自己的账户、开户名，否则不予办理，退回时将采用转账或电汇方式。</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12.11发生以下情况之一的，投标保证金将不予退还：</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⑴ 投标人在投标截止期后，在投标有效期内撤回投标；</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⑵ 中标人未能做到按本须知的规定签订合同；</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⑶ 中标人未按投标人须知前附表规定缴纳招标服务费；</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⑷ 以他人名义投标或者以其他方式弄虚作假；</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⑸ 本招标文件中规定的其他取消投标保证金的情形。</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上述不予退还投标保证金的情况给招标人造成损失的，还要承担赔偿责任。</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 投标文件的格式</w:t>
      </w:r>
    </w:p>
    <w:p>
      <w:pPr>
        <w:spacing w:line="240" w:lineRule="auto"/>
        <w:rPr>
          <w:rFonts w:hint="eastAsia" w:ascii="宋体" w:hAnsi="宋体" w:cs="宋体"/>
          <w:b/>
          <w:color w:val="000000" w:themeColor="text1"/>
          <w:sz w:val="24"/>
          <w:shd w:val="pct10" w:color="auto" w:fill="FFFFFF"/>
          <w14:textFill>
            <w14:solidFill>
              <w14:schemeClr w14:val="tx1"/>
            </w14:solidFill>
          </w14:textFill>
        </w:rPr>
      </w:pPr>
      <w:r>
        <w:rPr>
          <w:rFonts w:hint="eastAsia" w:ascii="宋体" w:hAnsi="宋体" w:cs="宋体"/>
          <w:b/>
          <w:color w:val="000000" w:themeColor="text1"/>
          <w:sz w:val="24"/>
          <w:shd w:val="pct10" w:color="auto" w:fill="FFFFFF"/>
          <w14:textFill>
            <w14:solidFill>
              <w14:schemeClr w14:val="tx1"/>
            </w14:solidFill>
          </w14:textFill>
        </w:rPr>
        <w:t>13.1投标人须编制由本须知第10条规定文件组成的投标文件正本一份，副本肆份，电子版一份，(报价部分、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技术商务部分需单独装订胶装，分册密封投标，电子版需单独密封)，正本、副本必须用A4幅面纸张打印装订成册(含产品彩页)，应编制封面目录、页码，必须用胶装(为永久性、无破坏不可拆的)并加盖骑缝章或逐页盖章。副本可以用正本的完整复印件，并在封面标明“正本”、“副本”字样。正本与副本如有不一致，则以正本为准。(注：若未按要求装订胶装或投标文件技术商务部分出现投标报价，视为无效投标。)</w:t>
      </w:r>
    </w:p>
    <w:p>
      <w:pPr>
        <w:spacing w:line="240" w:lineRule="auto"/>
        <w:ind w:firstLine="482" w:firstLineChars="200"/>
        <w:rPr>
          <w:rFonts w:hint="eastAsia" w:ascii="宋体" w:hAnsi="宋体" w:cs="宋体"/>
          <w:b/>
          <w:color w:val="000000" w:themeColor="text1"/>
          <w:sz w:val="24"/>
          <w:shd w:val="pct10" w:color="auto" w:fill="FFFFFF"/>
          <w14:textFill>
            <w14:solidFill>
              <w14:schemeClr w14:val="tx1"/>
            </w14:solidFill>
          </w14:textFill>
        </w:rPr>
      </w:pPr>
      <w:r>
        <w:rPr>
          <w:rFonts w:hint="eastAsia" w:ascii="宋体" w:hAnsi="宋体" w:cs="宋体"/>
          <w:b/>
          <w:color w:val="000000" w:themeColor="text1"/>
          <w:sz w:val="24"/>
          <w:shd w:val="pct10" w:color="auto" w:fill="FFFFFF"/>
          <w14:textFill>
            <w14:solidFill>
              <w14:schemeClr w14:val="tx1"/>
            </w14:solidFill>
          </w14:textFill>
        </w:rPr>
        <w:t>13.2投标文件由报价部分、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技术商务部分组成，在投标文件封面上和密封袋上标明 “报价部分”、“</w:t>
      </w:r>
      <w:r>
        <w:rPr>
          <w:rFonts w:hint="eastAsia" w:ascii="宋体" w:hAnsi="宋体" w:cs="宋体"/>
          <w:b/>
          <w:color w:val="000000" w:themeColor="text1"/>
          <w:sz w:val="24"/>
          <w14:textFill>
            <w14:solidFill>
              <w14:schemeClr w14:val="tx1"/>
            </w14:solidFill>
          </w14:textFill>
        </w:rPr>
        <w:t>资格及资信证明部分</w:t>
      </w:r>
      <w:r>
        <w:rPr>
          <w:rFonts w:hint="eastAsia" w:ascii="宋体" w:hAnsi="宋体" w:cs="宋体"/>
          <w:b/>
          <w:color w:val="000000" w:themeColor="text1"/>
          <w:sz w:val="24"/>
          <w:shd w:val="pct10"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shd w:val="pct10" w:color="auto" w:fill="FFFFFF"/>
          <w14:textFill>
            <w14:solidFill>
              <w14:schemeClr w14:val="tx1"/>
            </w14:solidFill>
          </w14:textFill>
        </w:rPr>
        <w:t>“技术商务部分”； 副本应与正本一致，可以用正本的完整复印件，并在封面标明“副本”字样。</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13.3除非有另外的规定或许可，投标使用货币为人民币。</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13.5 投标文件的正本和全部副本均应使用不能擦去的墨料或墨水打印、书写，并由法定代表人或其授权代表(投标代表)签署，盖投标人公章，并用投标人公章盖好骑缝章，相关证件必须每页加盖公章。</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13.6全套投标文件应无涂改和行间插字，除非这些改动是根据招标代理人的指示进行的，或者是为改正投标人造成的必须修改的错误而进行的。有改动时，修改处应由授权代表签署证明或加盖校正章。 </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13.7未按本须知规定的格式填写投标文件、投标文件字迹模糊不清的，其投标将被拒绝。</w:t>
      </w:r>
    </w:p>
    <w:p>
      <w:pPr>
        <w:spacing w:line="240" w:lineRule="auto"/>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13.8</w:t>
      </w:r>
      <w:r>
        <w:rPr>
          <w:rFonts w:hint="eastAsia" w:asciiTheme="minorEastAsia" w:hAnsiTheme="minorEastAsia" w:eastAsiaTheme="minorEastAsia" w:cstheme="minorEastAsia"/>
          <w:b/>
          <w:bCs/>
          <w:color w:val="000000" w:themeColor="text1"/>
          <w:sz w:val="24"/>
          <w14:textFill>
            <w14:solidFill>
              <w14:schemeClr w14:val="tx1"/>
            </w14:solidFill>
          </w14:textFill>
        </w:rPr>
        <w:t>所有资格证明文件复印件须注明“与原件一致”并加盖投标人公章(有有效期的证书，必须在有效期内，否则将视为无效或虚假材料)。</w:t>
      </w:r>
    </w:p>
    <w:p>
      <w:pPr>
        <w:spacing w:line="240" w:lineRule="auto"/>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 投标文件的提交</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14.投标文件的密封、标记和递交</w:t>
      </w:r>
    </w:p>
    <w:p>
      <w:pPr>
        <w:spacing w:line="240" w:lineRule="auto"/>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14.1 </w:t>
      </w:r>
      <w:r>
        <w:rPr>
          <w:rFonts w:hint="eastAsia" w:asciiTheme="minorEastAsia" w:hAnsiTheme="minorEastAsia" w:eastAsiaTheme="minorEastAsia" w:cstheme="minorEastAsia"/>
          <w:b/>
          <w:bCs/>
          <w:color w:val="000000" w:themeColor="text1"/>
          <w:sz w:val="24"/>
          <w14:textFill>
            <w14:solidFill>
              <w14:schemeClr w14:val="tx1"/>
            </w14:solidFill>
          </w14:textFill>
        </w:rPr>
        <w:t>投标人应将投标文件的正本和全部副本分别用信封密封，并标明招标编号、投标人名称、投标货物名称及“正本”或“副本”字样，在信封每一处封口的骑缝处均要签字或盖章。投标文件未密封完整将导致投标被拒绝。</w:t>
      </w:r>
    </w:p>
    <w:p>
      <w:pPr>
        <w:spacing w:line="240" w:lineRule="auto"/>
        <w:ind w:firstLine="480"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14.2 </w:t>
      </w:r>
      <w:r>
        <w:rPr>
          <w:rFonts w:hint="eastAsia" w:asciiTheme="minorEastAsia" w:hAnsiTheme="minorEastAsia" w:eastAsiaTheme="minorEastAsia" w:cstheme="minorEastAsia"/>
          <w:b/>
          <w:bCs/>
          <w:color w:val="000000" w:themeColor="text1"/>
          <w:sz w:val="24"/>
          <w14:textFill>
            <w14:solidFill>
              <w14:schemeClr w14:val="tx1"/>
            </w14:solidFill>
          </w14:textFill>
        </w:rPr>
        <w:t>每一信封密封处应注明“  年  月  日  时  分(指招标邀请中规定的开标日期及时间)不准启封”的字样，并签字或盖章。</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14.3如果投标文件由邮局或专人送交，投标人应将投标文件按照本须知第14.1条至第14.1条的规定进行密封和标记后，按投标人须知前附表注明的地址送至接收人。</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14.4如果未按上述规定进行密封和标记，招标代理人将不承担由此造成的对投标文件的误投或提前拆封的责任。</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14.5投标文件应在投标邀请中规定的截止时间前送达，迟到的投标文件为无效投标文件，将被拒收。</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14.6投标人在投标截止时间前，可以对所提交的投标文件进行修改或者撤回，并书面通知招标代理人。修改的内容和撤回通知应当按本须知要求签署、盖章、密封，并作为投标文件的组成部分。</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14.7投标人在投标截止期后不得修改、撤回投标文件。投标人在投标截止期后修改投标文件的，其投标被拒绝。</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14.8</w:t>
      </w:r>
      <w:r>
        <w:rPr>
          <w:rFonts w:hint="eastAsia" w:asciiTheme="minorEastAsia" w:hAnsiTheme="minorEastAsia" w:eastAsiaTheme="minorEastAsia" w:cstheme="minorEastAsia"/>
          <w:b/>
          <w:bCs w:val="0"/>
          <w:color w:val="000000" w:themeColor="text1"/>
          <w:sz w:val="24"/>
          <w:shd w:val="pct10" w:color="auto" w:fill="FFFFFF"/>
          <w14:textFill>
            <w14:solidFill>
              <w14:schemeClr w14:val="tx1"/>
            </w14:solidFill>
          </w14:textFill>
        </w:rPr>
        <w:t>投标截止时间结束后参加投标的投标人不足三家的，本次招标程序终止，除采购任务取消情形外，招标人将依法重新组织招标或者采取其他方式采购。</w:t>
      </w:r>
    </w:p>
    <w:p>
      <w:pPr>
        <w:spacing w:line="240" w:lineRule="auto"/>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  投标文件的评估和比较</w:t>
      </w:r>
    </w:p>
    <w:p>
      <w:pPr>
        <w:spacing w:line="24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15．开标、评标时间</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15.1 本项目将在投标人须知前附表中所规定的时间、地点开标。</w:t>
      </w:r>
    </w:p>
    <w:p>
      <w:pPr>
        <w:spacing w:line="24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15.2开标由招标代理人主持，招标人、投标人和有关方面代表参加。所有投标人应派授权代表参加开标会，并签到。</w:t>
      </w:r>
    </w:p>
    <w:p>
      <w:pPr>
        <w:spacing w:line="54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未当场提出书面异议的（含未确认），视同认可开标记录。</w:t>
      </w:r>
    </w:p>
    <w:p>
      <w:pPr>
        <w:widowControl/>
        <w:spacing w:before="75" w:after="75" w:line="276" w:lineRule="auto"/>
        <w:jc w:val="center"/>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 xml:space="preserve"> （一）、资格审查</w:t>
      </w:r>
    </w:p>
    <w:p>
      <w:pPr>
        <w:pStyle w:val="28"/>
        <w:spacing w:before="75" w:after="75"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1、开标结束后，</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14:textFill>
            <w14:solidFill>
              <w14:schemeClr w14:val="tx1"/>
            </w14:solidFill>
          </w14:textFill>
        </w:rPr>
        <w:t>负责资格审查小组的组建及资格审查工作的组织。</w:t>
      </w:r>
    </w:p>
    <w:p>
      <w:pPr>
        <w:pStyle w:val="28"/>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1.1资格审查小组由3人组成，并负责具体审查事务，其中：由采购人派出的采购人代表至少</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人，由</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14:textFill>
            <w14:solidFill>
              <w14:schemeClr w14:val="tx1"/>
            </w14:solidFill>
          </w14:textFill>
        </w:rPr>
        <w:t>派出的工作人员至少</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人，其余</w:t>
      </w:r>
      <w:r>
        <w:rPr>
          <w:rFonts w:hint="eastAsia" w:asciiTheme="minorEastAsia" w:hAnsiTheme="minorEastAsia" w:eastAsiaTheme="minorEastAsia" w:cstheme="minorEastAsia"/>
          <w:color w:val="000000" w:themeColor="text1"/>
          <w:u w:val="single"/>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人可为采购人代表或</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14:textFill>
            <w14:solidFill>
              <w14:schemeClr w14:val="tx1"/>
            </w14:solidFill>
          </w14:textFill>
        </w:rPr>
        <w:t>的工作人员。</w:t>
      </w:r>
    </w:p>
    <w:p>
      <w:pPr>
        <w:pStyle w:val="28"/>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1.2资格审查的依据是招标文件和投标文件。</w:t>
      </w:r>
    </w:p>
    <w:p>
      <w:pPr>
        <w:pStyle w:val="28"/>
        <w:spacing w:before="75" w:after="75"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1.3资格审查的范围及内容：投标文件（资格及资信证明部分），具体如下：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①“投标函”；</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②“投标人的资格及资信证明文件”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a.一般资格证明文件：详见第二章《投标人须知前附表》2。</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③投标保证金。</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1.4有下列情形之一的，</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资格审查不合格：</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一般情形：</w:t>
      </w:r>
    </w:p>
    <w:tbl>
      <w:tblPr>
        <w:tblStyle w:val="31"/>
        <w:tblW w:w="953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序号</w:t>
            </w:r>
          </w:p>
        </w:tc>
        <w:tc>
          <w:tcPr>
            <w:tcW w:w="868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a1</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a2</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759" w:type="dxa"/>
            <w:tcMar>
              <w:top w:w="0" w:type="dxa"/>
              <w:left w:w="105" w:type="dxa"/>
              <w:bottom w:w="0" w:type="dxa"/>
              <w:right w:w="105" w:type="dxa"/>
            </w:tcMar>
            <w:vAlign w:val="center"/>
          </w:tcPr>
          <w:p>
            <w:pPr>
              <w:widowControl/>
              <w:spacing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a3</w:t>
            </w:r>
          </w:p>
        </w:tc>
        <w:tc>
          <w:tcPr>
            <w:tcW w:w="8689" w:type="dxa"/>
            <w:tcMar>
              <w:top w:w="0" w:type="dxa"/>
              <w:left w:w="105" w:type="dxa"/>
              <w:bottom w:w="0" w:type="dxa"/>
              <w:right w:w="105" w:type="dxa"/>
            </w:tcMar>
          </w:tcPr>
          <w:p>
            <w:pPr>
              <w:widowControl/>
              <w:spacing w:line="276"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未按照招标文件规定提交投标保证金。</w:t>
            </w:r>
          </w:p>
        </w:tc>
      </w:tr>
    </w:tbl>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2、资格审查情况不得私自外泄，有关信息由</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统一对外发布。</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3、资格审查合格的投标人不足三家的，不进行评标。同时，本次采购活动结束，</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将依法组织后续采购活动（包括但不限于：重新招标、采用其他方式采购等）。</w:t>
      </w:r>
    </w:p>
    <w:p>
      <w:pPr>
        <w:widowControl/>
        <w:spacing w:before="75" w:after="75" w:line="276"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（二）、评标</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负责评标委员会的组建及评标工作的组织。</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5、评标委员会</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5.1评标委员会由采购人代表和评标专家两部分共</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5</w:t>
      </w:r>
      <w:r>
        <w:rPr>
          <w:rFonts w:hint="eastAsia" w:asciiTheme="minorEastAsia" w:hAnsiTheme="minorEastAsia" w:eastAsiaTheme="minorEastAsia" w:cstheme="minorEastAsia"/>
          <w:color w:val="000000" w:themeColor="text1"/>
          <w:kern w:val="0"/>
          <w:sz w:val="24"/>
          <w14:textFill>
            <w14:solidFill>
              <w14:schemeClr w14:val="tx1"/>
            </w14:solidFill>
          </w14:textFill>
        </w:rPr>
        <w:t>人（以下简称“评委”）组成，其中：由采购人派出的采购人代表</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人，由莆田市政府采购评审专家库产生的评标专家</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4</w:t>
      </w:r>
      <w:r>
        <w:rPr>
          <w:rFonts w:hint="eastAsia" w:asciiTheme="minorEastAsia" w:hAnsiTheme="minorEastAsia" w:eastAsiaTheme="minorEastAsia" w:cstheme="minorEastAsia"/>
          <w:color w:val="000000" w:themeColor="text1"/>
          <w:kern w:val="0"/>
          <w:sz w:val="24"/>
          <w14:textFill>
            <w14:solidFill>
              <w14:schemeClr w14:val="tx1"/>
            </w14:solidFill>
          </w14:textFill>
        </w:rPr>
        <w:t>人。</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5.2评标委员会负责具体评标事务，并按照下列原则依法独立履行有关职责：</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（1）评标应保护国家利益、社会公共利益和各方当事人合法权益，提高采购效益，保证项目质量。</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（2）评标应遵循公平、公正、科学、严谨和择优原则。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（3）评标的依据是招标文件和投标文件。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（4）应按照招标文件规定推荐中标候选人或确定中标人。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（5）评标应遵守下列评标纪律：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①评标情况不得私自外泄，有关信息由</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统一对外发布。</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②对</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kern w:val="0"/>
          <w:sz w:val="24"/>
          <w14:textFill>
            <w14:solidFill>
              <w14:schemeClr w14:val="tx1"/>
            </w14:solidFill>
          </w14:textFill>
        </w:rPr>
        <w:t>或投标人提供的要求保密的资料，不得摘记翻印和外传。</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④全体评委应按照招标文件规定进行评标，一切认定事项应查有实据且不得弄虚作假。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⑤评标中应充分发扬民主，推荐中标候选人或确定中标人后要服从评标报告。</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※对违反评标纪律的评委，将取消其评委资格，对评标工作造成严重损失者将予以通报批评乃至追究法律责任。</w:t>
      </w:r>
    </w:p>
    <w:p>
      <w:pPr>
        <w:widowControl/>
        <w:spacing w:before="75" w:after="75"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6、评标程序</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6.1评标前的准备工作</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（1）全体评委应认真审阅招标文件，了解评委应履行或遵守的职责、义务和评标纪律。</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6.2符合性审查</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（2）满足招标文件的实质性要求指投标文件对招标文件实质性要求的响应不存在重大偏差或保留。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（5）评标委员会对所有投标人都执行相同的程序和标准。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（6）有下列情形之一的，</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符合性审查不合格：</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①一般情形：</w:t>
      </w:r>
    </w:p>
    <w:tbl>
      <w:tblPr>
        <w:tblStyle w:val="31"/>
        <w:tblW w:w="971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1"/>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序号</w:t>
            </w:r>
          </w:p>
        </w:tc>
        <w:tc>
          <w:tcPr>
            <w:tcW w:w="8702"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a1</w:t>
            </w:r>
          </w:p>
        </w:tc>
        <w:tc>
          <w:tcPr>
            <w:tcW w:w="8702" w:type="dxa"/>
            <w:tcMar>
              <w:top w:w="0" w:type="dxa"/>
              <w:left w:w="105" w:type="dxa"/>
              <w:bottom w:w="0" w:type="dxa"/>
              <w:right w:w="105" w:type="dxa"/>
            </w:tcMar>
            <w:vAlign w:val="center"/>
          </w:tcPr>
          <w:p>
            <w:pPr>
              <w:widowControl/>
              <w:spacing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违反招标文件中载明“</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tblCellSpacing w:w="15" w:type="dxa"/>
        </w:trPr>
        <w:tc>
          <w:tcPr>
            <w:tcW w:w="92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a2</w:t>
            </w:r>
          </w:p>
        </w:tc>
        <w:tc>
          <w:tcPr>
            <w:tcW w:w="8702" w:type="dxa"/>
            <w:tcMar>
              <w:top w:w="0" w:type="dxa"/>
              <w:left w:w="105" w:type="dxa"/>
              <w:bottom w:w="0" w:type="dxa"/>
              <w:right w:w="105" w:type="dxa"/>
            </w:tcMar>
            <w:vAlign w:val="center"/>
          </w:tcPr>
          <w:p>
            <w:pPr>
              <w:widowControl/>
              <w:spacing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投标文件对招标文件实质性要求的响应存在重大偏离或保留。</w:t>
            </w:r>
          </w:p>
        </w:tc>
      </w:tr>
    </w:tbl>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6.3澄清有关问题</w:t>
      </w:r>
    </w:p>
    <w:p>
      <w:pPr>
        <w:widowControl/>
        <w:spacing w:before="75" w:after="75" w:line="360" w:lineRule="auto"/>
        <w:ind w:firstLine="42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（3）投标文件报价出现前后不一致的，除招标文件另有规定外，按照下列规定修正：</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①开标一览表内容与投标文件中相应内容不一致的，以开标一览表为准；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②大写金额和小写金额不一致的，以大写金额为准；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③单价金额小数点或百分比有明显错位的，以开标一览表的总价为准，并修改单价；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④总价金额与按照单价汇总金额不一致的，以单价金额计算结果为准。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（4）关于细微偏差</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（5）关于投标描述（即投标文件中描述的内容）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①投标描述前后不一致且不涉及证明材料的：按照本章第6.3条第（1）、（2）款规定执行。</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②投标描述与证明材料不一致或多份证明材料之间不一致的：</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a.评标委员会将要求投标人进行书面澄清，并按照不利于投标人的内容进行评标。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6.4比较与评价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（1）按照本章第7条载明的评标方法和标准，对符合性审查合格的投标文件进行比较与评价。</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14:textFill>
            <w14:solidFill>
              <w14:schemeClr w14:val="tx1"/>
            </w14:solidFill>
          </w14:textFill>
        </w:rPr>
        <w:t>关于相同品牌产品</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（政府采购服务类项目不适用本条款规定）</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无</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b.招标文件未规定的，采取随机抽取方式确定，其他</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无</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b.招标文件未规定的，采取随机抽取方式确定，其他同品牌投标人不作为中标候选人。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③非单一产品采购项目，多家投标人提供的核心产品品牌相同的，按照本章第6.4条第（2）款第①、②规定处理。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（3）漏（缺）项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①招标文件中要求列入报价的费用（含配置、功能），漏（缺）项的报价视为已经包括在投标总价中。</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②对多报项及赠送项的价格评标时不予核减，全部进入评标价评议。</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6.5推荐中标候选人：详见本章第7.2条规定。</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6.6编写评标报告</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（1）评标报告由评标委员会负责编写。</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（2）评标报告应包括下列内容：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①招标公告刊登的网站名称、开标日期和地点；</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②投标人名单和评标委员会成员名单；</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③评标方法和标准；</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④开标记录和评标情况及说明，包括无效投标人名单及原因；</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⑤评标结果，包括中标候选人名单或确定的中标人；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⑥其他需要说明的情况，包括但不限于：评标过程中投标人的澄清、说明或补正，评委更换等。</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处理。</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6.8评委对需要共同认定的事项存在争议的，应按照少数服从多数的原则进行认定。</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持不同意见的评委应在评标报告上签署不同意见及理由，否则视为同意评标报告。</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6.9在评标过程中发现投标人有下列情形之一的，评标委员会应认定其</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投标无效</w:t>
      </w:r>
      <w:r>
        <w:rPr>
          <w:rFonts w:hint="eastAsia" w:asciiTheme="minorEastAsia" w:hAnsiTheme="minorEastAsia" w:eastAsiaTheme="minorEastAsia" w:cstheme="minorEastAsia"/>
          <w:color w:val="000000" w:themeColor="text1"/>
          <w:kern w:val="0"/>
          <w:sz w:val="24"/>
          <w14:textFill>
            <w14:solidFill>
              <w14:schemeClr w14:val="tx1"/>
            </w14:solidFill>
          </w14:textFill>
        </w:rPr>
        <w:t>，并书面报告本项目监督管理部门：</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（1）恶意串通（包括但不限于招标文件中规定的情形）；</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（2）妨碍其他投标人的竞争行为；</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（3）损害采购人或其他投标人的合法权益。</w:t>
      </w:r>
    </w:p>
    <w:p>
      <w:pPr>
        <w:widowControl/>
        <w:spacing w:before="75" w:after="75"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6.10评标过程中，有下列情形之一的，应予废标：</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（1）符合性审查合格的投标人不足三家的；</w:t>
      </w:r>
    </w:p>
    <w:p>
      <w:pPr>
        <w:widowControl/>
        <w:spacing w:before="75" w:after="75" w:line="360" w:lineRule="auto"/>
        <w:ind w:firstLine="48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（2）有关法律、法规和规章规定废标的情形。</w:t>
      </w:r>
    </w:p>
    <w:p>
      <w:pPr>
        <w:widowControl/>
        <w:spacing w:before="75" w:after="75" w:line="360" w:lineRule="auto"/>
        <w:ind w:firstLine="48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※若废标，则本次采购活动结束，</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将依法组织后续采购活动（包括但不限于：重新招标、采用其他方式采购等）。</w:t>
      </w:r>
    </w:p>
    <w:p>
      <w:pPr>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  定标与签订合同</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20.定标准则</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20.1</w:t>
      </w: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评分方法：采用综合评分法</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20.2投标人的投标文件符合招标文件要求，按招标文件确定评标标准、方法，经评委评审并推荐为一名中标候选人。</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中标通知</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  评标结束后，评标结果经招标人确认后，招标代理人方将在刊登本采购项目招标公告的媒介上对中标结果进行公示。公示后，招标代理人将向中标生产厂家发出中标通知书。中标通知书对招标人和中标生产厂家具有同等法律效力。中标通知书发出后，招标人改变中标结果，或者中标生产厂家放弃中标，应按相关法律、规章、规范性文件的要求承担相应的法律责任。投标人对中标公告有异议的，应当在知道或应当知道其权益受到损害之日起7个工作日内，以书面形式向招标人或招标代理人提出质疑。</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21.2《中标通知书》发出同时应将落标通知没有中标的其它投标人。</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21.3《中标通知书》将作为签订合同的依据。《合同》签订后，《中标通知书》成为《合同》的一部分。</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22.签订合同要求</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22.1 </w:t>
      </w:r>
      <w:r>
        <w:rPr>
          <w:rFonts w:hint="eastAsia" w:asciiTheme="minorEastAsia" w:hAnsiTheme="minorEastAsia" w:eastAsiaTheme="minorEastAsia" w:cstheme="minorEastAsia"/>
          <w:b/>
          <w:color w:val="000000" w:themeColor="text1"/>
          <w:sz w:val="24"/>
          <w14:textFill>
            <w14:solidFill>
              <w14:schemeClr w14:val="tx1"/>
            </w14:solidFill>
          </w14:textFill>
        </w:rPr>
        <w:t>中标人须在接到中标通知书之日起15天内与采购人签订合同，不按规定时限与采购人签订合同，招标人有权没收中标人的投标保证金，并取消其中标资格。</w:t>
      </w:r>
    </w:p>
    <w:p>
      <w:pPr>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23.招标项目行政监督部门</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24.1招标项目行政监督部门可视情依法派员对本招标活动的全程进行监督。</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24.2投标人如对招标活动有异议，可以书面形式向招标人或招标代理人提出质疑。招标人或招标代理人作出书面答复后，若投标人不满意的，可在答复期满后十五日内按照有关规定向投标须知前附表第9项所述招标项目行政监督部门投诉。</w:t>
      </w:r>
    </w:p>
    <w:p>
      <w:pPr>
        <w:pStyle w:val="6"/>
        <w:numPr>
          <w:ilvl w:val="0"/>
          <w:numId w:val="7"/>
        </w:numPr>
        <w:snapToGrid w:val="0"/>
        <w:spacing w:line="720" w:lineRule="exact"/>
        <w:ind w:firstLine="0"/>
        <w:jc w:val="center"/>
        <w:rPr>
          <w:rFonts w:hint="eastAsia" w:asciiTheme="minorEastAsia" w:hAnsiTheme="minorEastAsia" w:eastAsiaTheme="minorEastAsia" w:cstheme="minorEastAsia"/>
          <w:b/>
          <w:color w:val="000000" w:themeColor="text1"/>
          <w:sz w:val="36"/>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24"/>
          <w14:textFill>
            <w14:solidFill>
              <w14:schemeClr w14:val="tx1"/>
            </w14:solidFill>
          </w14:textFill>
        </w:rPr>
        <w:t xml:space="preserve"> 招标内容及要求</w:t>
      </w:r>
    </w:p>
    <w:p>
      <w:pPr>
        <w:pStyle w:val="6"/>
        <w:numPr>
          <w:ilvl w:val="0"/>
          <w:numId w:val="0"/>
        </w:numPr>
        <w:snapToGrid w:val="0"/>
        <w:spacing w:line="720" w:lineRule="exact"/>
        <w:jc w:val="both"/>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一、技术招标内容：</w:t>
      </w:r>
    </w:p>
    <w:p>
      <w:pPr>
        <w:pStyle w:val="6"/>
        <w:pageBreakBefore w:val="0"/>
        <w:tabs>
          <w:tab w:val="left" w:pos="1365"/>
        </w:tabs>
        <w:kinsoku/>
        <w:wordWrap/>
        <w:overflowPunct/>
        <w:topLinePunct w:val="0"/>
        <w:bidi w:val="0"/>
        <w:adjustRightInd w:val="0"/>
        <w:snapToGrid w:val="0"/>
        <w:spacing w:line="460" w:lineRule="exact"/>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一、项目概况</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招标项目一览表</w:t>
      </w:r>
    </w:p>
    <w:tbl>
      <w:tblPr>
        <w:tblStyle w:val="31"/>
        <w:tblW w:w="4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136"/>
        <w:gridCol w:w="4326"/>
        <w:gridCol w:w="123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50" w:type="pct"/>
            <w:vAlign w:val="center"/>
          </w:tcPr>
          <w:p>
            <w:pPr>
              <w:pStyle w:val="6"/>
              <w:keepNext w:val="0"/>
              <w:keepLines w:val="0"/>
              <w:pageBreakBefore w:val="0"/>
              <w:widowControl w:val="0"/>
              <w:tabs>
                <w:tab w:val="left" w:pos="1365"/>
              </w:tabs>
              <w:kinsoku/>
              <w:wordWrap/>
              <w:overflowPunct/>
              <w:topLinePunct w:val="0"/>
              <w:autoSpaceDE/>
              <w:autoSpaceDN/>
              <w:bidi w:val="0"/>
              <w:adjustRightInd w:val="0"/>
              <w:snapToGrid w:val="0"/>
              <w:spacing w:line="312" w:lineRule="auto"/>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合同包</w:t>
            </w:r>
          </w:p>
        </w:tc>
        <w:tc>
          <w:tcPr>
            <w:tcW w:w="606" w:type="pct"/>
            <w:vAlign w:val="center"/>
          </w:tcPr>
          <w:p>
            <w:pPr>
              <w:pStyle w:val="6"/>
              <w:keepNext w:val="0"/>
              <w:keepLines w:val="0"/>
              <w:pageBreakBefore w:val="0"/>
              <w:widowControl w:val="0"/>
              <w:tabs>
                <w:tab w:val="left" w:pos="1365"/>
              </w:tabs>
              <w:kinsoku/>
              <w:wordWrap/>
              <w:overflowPunct/>
              <w:topLinePunct w:val="0"/>
              <w:autoSpaceDE/>
              <w:autoSpaceDN/>
              <w:bidi w:val="0"/>
              <w:adjustRightInd w:val="0"/>
              <w:snapToGrid w:val="0"/>
              <w:spacing w:line="312" w:lineRule="auto"/>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品目号</w:t>
            </w:r>
          </w:p>
        </w:tc>
        <w:tc>
          <w:tcPr>
            <w:tcW w:w="2308" w:type="pct"/>
            <w:vAlign w:val="center"/>
          </w:tcPr>
          <w:p>
            <w:pPr>
              <w:pStyle w:val="6"/>
              <w:keepNext w:val="0"/>
              <w:keepLines w:val="0"/>
              <w:pageBreakBefore w:val="0"/>
              <w:widowControl w:val="0"/>
              <w:tabs>
                <w:tab w:val="left" w:pos="1365"/>
              </w:tabs>
              <w:kinsoku/>
              <w:wordWrap/>
              <w:overflowPunct/>
              <w:topLinePunct w:val="0"/>
              <w:autoSpaceDE/>
              <w:autoSpaceDN/>
              <w:bidi w:val="0"/>
              <w:adjustRightInd w:val="0"/>
              <w:snapToGrid w:val="0"/>
              <w:spacing w:line="312" w:lineRule="auto"/>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名称</w:t>
            </w:r>
          </w:p>
        </w:tc>
        <w:tc>
          <w:tcPr>
            <w:tcW w:w="659" w:type="pct"/>
            <w:vAlign w:val="center"/>
          </w:tcPr>
          <w:p>
            <w:pPr>
              <w:pStyle w:val="6"/>
              <w:keepNext w:val="0"/>
              <w:keepLines w:val="0"/>
              <w:pageBreakBefore w:val="0"/>
              <w:widowControl w:val="0"/>
              <w:tabs>
                <w:tab w:val="left" w:pos="1365"/>
              </w:tabs>
              <w:kinsoku/>
              <w:wordWrap/>
              <w:overflowPunct/>
              <w:topLinePunct w:val="0"/>
              <w:autoSpaceDE/>
              <w:autoSpaceDN/>
              <w:bidi w:val="0"/>
              <w:adjustRightInd w:val="0"/>
              <w:snapToGrid w:val="0"/>
              <w:spacing w:line="312" w:lineRule="auto"/>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数量（门）</w:t>
            </w:r>
          </w:p>
        </w:tc>
        <w:tc>
          <w:tcPr>
            <w:tcW w:w="876" w:type="pct"/>
            <w:vAlign w:val="center"/>
          </w:tcPr>
          <w:p>
            <w:pPr>
              <w:pStyle w:val="6"/>
              <w:keepNext w:val="0"/>
              <w:keepLines w:val="0"/>
              <w:pageBreakBefore w:val="0"/>
              <w:widowControl w:val="0"/>
              <w:tabs>
                <w:tab w:val="left" w:pos="1365"/>
              </w:tabs>
              <w:kinsoku/>
              <w:wordWrap/>
              <w:overflowPunct/>
              <w:topLinePunct w:val="0"/>
              <w:autoSpaceDE/>
              <w:autoSpaceDN/>
              <w:bidi w:val="0"/>
              <w:adjustRightInd w:val="0"/>
              <w:snapToGrid w:val="0"/>
              <w:spacing w:line="312" w:lineRule="auto"/>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预算总价</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50" w:type="pct"/>
            <w:vMerge w:val="restar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480" w:firstLineChars="2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606"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308"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《建筑工程测量》精品课程定制开发</w:t>
            </w:r>
          </w:p>
        </w:tc>
        <w:tc>
          <w:tcPr>
            <w:tcW w:w="659"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876" w:type="pct"/>
            <w:vMerge w:val="restar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0" w:type="pct"/>
            <w:vMerge w:val="continue"/>
            <w:vAlign w:val="center"/>
          </w:tcPr>
          <w:p>
            <w:pPr>
              <w:pStyle w:val="6"/>
              <w:pageBreakBefore w:val="0"/>
              <w:tabs>
                <w:tab w:val="left" w:pos="1365"/>
              </w:tabs>
              <w:kinsoku/>
              <w:wordWrap/>
              <w:overflowPunct/>
              <w:topLinePunct w:val="0"/>
              <w:bidi w:val="0"/>
              <w:adjustRightInd w:val="0"/>
              <w:snapToGrid w:val="0"/>
              <w:spacing w:line="460" w:lineRule="exact"/>
              <w:ind w:left="0" w:leftChars="0" w:firstLine="480" w:firstLineChars="2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06"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308"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《建筑材料与检测》精品课程定制开发</w:t>
            </w:r>
          </w:p>
        </w:tc>
        <w:tc>
          <w:tcPr>
            <w:tcW w:w="659" w:type="pct"/>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876" w:type="pct"/>
            <w:vMerge w:val="continue"/>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6"/>
        <w:pageBreakBefore w:val="0"/>
        <w:tabs>
          <w:tab w:val="left" w:pos="1365"/>
        </w:tabs>
        <w:kinsoku/>
        <w:wordWrap/>
        <w:overflowPunct/>
        <w:topLinePunct w:val="0"/>
        <w:bidi w:val="0"/>
        <w:adjustRightInd w:val="0"/>
        <w:snapToGrid w:val="0"/>
        <w:spacing w:line="460" w:lineRule="exact"/>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二、招标项目内容及技术规格要求</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1.总体要求</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（1）精品课程资源必须上传到学校指定网络学习平台上，在指定平台上建课并正常运行。</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2.建设内容</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资源定位于“能学、辅教”。“能学”指凡有学习意愿并具备基本学习条件的职业院校学生、教师和社会学习者，均能够通过自主使用资源库实现不同起点的系统化、个性化学习，并实现一定的学习目标。“辅教”指教师可以针对不同的教授对象和课程要求，利用资源库灵活组织教学内容、辅助教学实施，实现教学目标；学生可以在课堂教学以外，通过使用资源库巩固所学和拓展学习。资源建设内容根据教材进行制作，制作数量和标准不低于以下要求：</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2.1.《建筑工程测量》精品课程定制开发</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885"/>
        <w:gridCol w:w="684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29"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896"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482" w:firstLineChars="20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建设内容</w:t>
            </w:r>
          </w:p>
        </w:tc>
        <w:tc>
          <w:tcPr>
            <w:tcW w:w="3255"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技术要求</w:t>
            </w:r>
          </w:p>
        </w:tc>
        <w:tc>
          <w:tcPr>
            <w:tcW w:w="418"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课程简介</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对《建筑工程测量》课程的介绍，包括课程主要教学目标与教学内容、课程负责人介绍、考核方式等，以PPT方式呈现，供学生学习。</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课程标准</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导课程建设及教学实施的规范性文件，一般包括课程概述（性质、定位、设计思路等）、课程特点、教学目标、教学内容与学时分配、模块教学设计、考核标准与方式、教材与资源的选用、师资要求、教学环境要求等内容。</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教学设计</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1.用以指导具体教学实施的设计文档，一般包括教学目标、内容、方法、手段、资源使用、评价考核等方面的内容。</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2.按教学项目撰写，内容覆盖整本教材。</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多媒体教学PPT</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1.PPT模板设计，16:9版式</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2.按照每一个小节/任务为单位，以校方教师提供的PPT内容进行排版、美化</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3.美化制作规范：需符合“（二）演示文稿（PPT）制作规范”的要求</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课程评价方案</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课程考核评价方案，用于考核本门课程总体成绩的考核标准。</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随堂测试题</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按照每次课（每讲）为单位，每讲约5题。</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单元测试题</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以学习项目为单位，针对单元中的重点与难点，做出深度的剖析，辅助学习者掌握。每个项目，每个项目不低于15题,主要包含选择、判断、填空、简答等形式，提供标准答案。</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综合期末测试</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根据课程重点和难点内容编制综合试卷。每套题与学生线下常规考试数量一致。主要包含选择、判断、填空、解答等形式，提供标准答案。</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试题库</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题目数不少于1000题,内容覆盖整本教材,提供标准答案。</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微视频</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1.教学任务和教学目标，搭建微课程的内容设计框架。</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2.根据知识点或技能点进行制作视频制作，视频包含片头片尾，MP4格式5-10分钟/个。</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3.制作规范：需符合“（一）视频技术规范”的要求</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4.根据知识点或技能点进行制作微视频，包括微课、视频、动画等。</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课堂教学录像</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根据学校教学任务对课堂教学进行录制，MP4格式。</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图片</w:t>
            </w:r>
          </w:p>
        </w:tc>
        <w:tc>
          <w:tcPr>
            <w:tcW w:w="3255"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根据技能点，收集整理相匹配的图片素材。按校方教师提供的内容进行排版、美化。</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bl>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2.2.《建筑材料与检测》精品课程定制开发</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85"/>
        <w:gridCol w:w="684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29"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896"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建设内容</w:t>
            </w:r>
          </w:p>
        </w:tc>
        <w:tc>
          <w:tcPr>
            <w:tcW w:w="3254"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技术要求</w:t>
            </w:r>
          </w:p>
        </w:tc>
        <w:tc>
          <w:tcPr>
            <w:tcW w:w="418" w:type="pct"/>
            <w:tcBorders>
              <w:top w:val="single" w:color="auto" w:sz="4" w:space="0"/>
              <w:left w:val="single" w:color="auto" w:sz="4" w:space="0"/>
              <w:bottom w:val="single" w:color="auto" w:sz="4" w:space="0"/>
              <w:right w:val="single" w:color="auto" w:sz="4" w:space="0"/>
            </w:tcBorders>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课程简介</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对《建筑材料与检测》课程的介绍，包括课程主要教学目标与教学内容、课程负责人介绍、考核方式等，以PPT方式呈现，供学生学习。</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课程标准</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导课程建设及教学实施的规范性文件，一般包括课程概述（性质、定位、设计思路等）、课程特点、教学目标、教学内容与学时分配、模块教学设计、考核标准与方式、教材与资源的选用、师资要求、教学环境要求等内容。</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教学设计</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1.用以指导具体教学实施的设计文档，一般包括教学目标、内容、方法、手段、资源使用、评价考核等方面的内容。</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2.按教学项目撰写，内容覆盖整本教材。</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多媒体教学PPT</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1.PPT模板设计，16:9版式</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2.按照每一个小节/任务为单位，以校方教师提供的PPT内容进行排版、美化</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3.美化制作规范：需符合“（二）演示文稿（PPT）制作规范”的要求</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课程评价方案</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课程考核评价方案，用于考核本门课程总体成绩的考核标准。</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随堂测试题</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以教学项目为单位编写测试题，其中单选题3题，多选题3题，填空题3题，简答题2题，案例分析1题，提供标准答案。（原则上每2节课一套）</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单元测试题</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以单元为单位进行编写测试题，内容覆盖整本教材。每份不低于15题，主要包含选择、判断、填空、解答等形式，提供标准答案。（每单元1套）</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综合期末测试</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根据课程重点和难点内容编制综合试卷。每套题与学生线下常规考试数量一致。主要包含选择、判断、填空、解答等形式，提供标准答案。</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试题库</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题目数不少于1000题,内容覆盖整本教材,提供标准答案。</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微视频</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1.教学任务和教学目标，搭建微课程的内容设计框架。</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2.根据知识点或技能点进行制作视频制作，视频包含片头片尾，MP4格式5-10分钟/个。</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3.制作规范：需符合“（一）视频技术规范”的要求</w:t>
            </w:r>
          </w:p>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4.根据知识点或技能点进行制作微视频，包括微课、视频、动画等。</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课堂教学录像</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根据学校教学任务对课堂教学进行录制，MP4格式。</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9"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896"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图片</w:t>
            </w:r>
          </w:p>
        </w:tc>
        <w:tc>
          <w:tcPr>
            <w:tcW w:w="3254"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根据技能点，收集整理相匹配的图片素材。（每单元1套）</w:t>
            </w:r>
          </w:p>
        </w:tc>
        <w:tc>
          <w:tcPr>
            <w:tcW w:w="418" w:type="pct"/>
            <w:tcBorders>
              <w:top w:val="single" w:color="auto" w:sz="4" w:space="0"/>
              <w:left w:val="single" w:color="auto" w:sz="4" w:space="0"/>
              <w:bottom w:val="single" w:color="auto" w:sz="4" w:space="0"/>
              <w:right w:val="single" w:color="auto" w:sz="4" w:space="0"/>
            </w:tcBorders>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1套</w:t>
            </w:r>
          </w:p>
        </w:tc>
      </w:tr>
    </w:tbl>
    <w:p>
      <w:pPr>
        <w:pStyle w:val="6"/>
        <w:pageBreakBefore w:val="0"/>
        <w:tabs>
          <w:tab w:val="left" w:pos="1365"/>
        </w:tabs>
        <w:kinsoku/>
        <w:wordWrap/>
        <w:overflowPunct/>
        <w:topLinePunct w:val="0"/>
        <w:bidi w:val="0"/>
        <w:adjustRightInd w:val="0"/>
        <w:snapToGrid w:val="0"/>
        <w:spacing w:line="460" w:lineRule="exact"/>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备注：所提供的以上素材均不涉及版权问题。</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3.课程资源技术规范</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4" w:name="_Toc28933_WPSOffice_Level2"/>
      <w:r>
        <w:rPr>
          <w:rFonts w:hint="eastAsia" w:asciiTheme="minorEastAsia" w:hAnsiTheme="minorEastAsia" w:eastAsiaTheme="minorEastAsia" w:cstheme="minorEastAsia"/>
          <w:color w:val="000000" w:themeColor="text1"/>
          <w:sz w:val="24"/>
          <w:szCs w:val="24"/>
          <w14:textFill>
            <w14:solidFill>
              <w14:schemeClr w14:val="tx1"/>
            </w14:solidFill>
          </w14:textFill>
        </w:rPr>
        <w:t>（一）视频技术规范</w:t>
      </w:r>
      <w:bookmarkEnd w:id="14"/>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1.视频内容</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屏幕图像的构图合理，画面主体突出。人像及肢体动作以及配合讲授选用的板书、画板、教具实物、模型和实验设备等均不能超出镜头所及范围。</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演播室使用的背景采用彩色喷绘或电脑虚拟、实景等背景。背景的颜色、图案不易过多，应保持静态，画面应简洁、明快，有利于营造课堂气氛。</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摄像镜头应保持与主讲教师目光平视的角度。主讲教师不应较长时间仰视或俯视。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使用资料、图片、外景实拍、实验和表演等形象化教学手段，应符合教学内容要求，与讲授内容联系紧密，手段选用恰当。</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选用影视作品或自拍素材，应注明素材来源。影视作品或自拍素材中涉及人物访谈内容时，除应加注人物介绍外，还应采用滚动式同声字幕。</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选用的资料、图片等素材画面应清楚，对于历史资料、图片应进行再加工。选用的资料、图片等素材应注明素材来源及原始信息（如字画的作品、生卒年月，影视片断的作品名称、创作年代等信息）。</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动画的设计与使用，要与课程内容相贴切，能够发挥良好的教学效果。</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动画的实现须流畅、合理、图像清晰，具有较强的可视性。</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2.视频技术规格</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2.1视频信号源</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（1）稳定性：全片图像同步性能稳定，无失步现象，CTL同步控制信号必须连续：图像无抖动跳跃，色彩无突变，编辑点处图像稳定。</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（2）信噪比：图像信噪比不低于55dB，无明显杂波。</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（3）色调：白平衡正确，无明显偏色，多机拍摄的镜头衔接处无明显色差。</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（4）视频电平：视频全讯号幅度为1Ⅴp-p，最大不超过1.1Ⅴ p-p。其中，消隐电平为0V时，白电平幅度0.7Ⅴp-p，同步信号-0.3V，色同步信号幅度0.3V p-p (以消隐线上下对称)，全片一致。</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2.2音频信号源</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（1）声道：中文内容音频信号记录于第1声道，音乐、音效、同期声记录于第2声道，若有其他文字解说记录于第3声道(如录音设备无第3声道,则录于第2声道)。</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（2）电平指标：-2db —— -8db声音应无明显失真、放音过冲、过弱。</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（3）音频信噪比不低于48db。</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（4）声音和画面要求同步，无交流声或其他杂音等缺陷。</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（5）伴音清晰、饱满、圆润，无失真、噪声杂音干扰、音量忽大忽小现象。解说声与现场声无明显比例失调，解说声与背景音乐无明显比例失调。</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2.3视频压缩格式及技术参数</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（1）视频压缩采用H.264/AVC (MPEG-4 Part10)编码、使用二次编码、不包含字幕的MP4格式。</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（2）视频码流率：动态码流的最低码率不得低于1024Kb</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（3）视频分辨率</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前期采用高清16:9拍摄，设定为 1280×720或1920×1080。</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（4）视频画幅宽高比</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分辨率设定为1280×720或1920×1080的，选定 16:9</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（5）视频帧率为25帧/秒</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（6）扫描方式采用逐行扫描</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2.4音频压缩格式及技术参数</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（1）音频压缩采用AAC(MPEG4 Part3)格式</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（2）采样率48KHz </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（3）音频码流率128Kbps (恒定)</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（4）双声道，做混音处理。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2.5封装</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采用MP4封装</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5" w:name="_Toc9194_WPSOffice_Level2"/>
      <w:r>
        <w:rPr>
          <w:rFonts w:hint="eastAsia" w:asciiTheme="minorEastAsia" w:hAnsiTheme="minorEastAsia" w:eastAsiaTheme="minorEastAsia" w:cstheme="minorEastAsia"/>
          <w:color w:val="000000" w:themeColor="text1"/>
          <w:sz w:val="24"/>
          <w:szCs w:val="24"/>
          <w14:textFill>
            <w14:solidFill>
              <w14:schemeClr w14:val="tx1"/>
            </w14:solidFill>
          </w14:textFill>
        </w:rPr>
        <w:t>（二）演示文稿（PPT）制作规范</w:t>
      </w:r>
      <w:bookmarkEnd w:id="15"/>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1.制作原则</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（1）演示文稿（PPT）要求集文字、图形、图像、声音以及视频等多种媒体元素于一体，一般不使用纯文字的演示文稿（PPT）。</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（2）页面设置要求符合高清格式比例，幻灯片大小为“全屏显示16：9”。</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（3）整体效果应风格统一、色彩协调、美观大方。</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2.字体与字号</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字体与字号参照下表：</w:t>
      </w:r>
    </w:p>
    <w:tbl>
      <w:tblPr>
        <w:tblStyle w:val="31"/>
        <w:tblpPr w:leftFromText="180" w:rightFromText="180" w:vertAnchor="text" w:horzAnchor="margin" w:tblpXSpec="center" w:tblpY="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85"/>
        <w:gridCol w:w="1560"/>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类型</w:t>
            </w:r>
          </w:p>
        </w:tc>
        <w:tc>
          <w:tcPr>
            <w:tcW w:w="1701"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大标题</w:t>
            </w:r>
          </w:p>
        </w:tc>
        <w:tc>
          <w:tcPr>
            <w:tcW w:w="1485"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主讲信息</w:t>
            </w:r>
          </w:p>
        </w:tc>
        <w:tc>
          <w:tcPr>
            <w:tcW w:w="1560"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一级标题</w:t>
            </w:r>
          </w:p>
        </w:tc>
        <w:tc>
          <w:tcPr>
            <w:tcW w:w="1559"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正  文</w:t>
            </w:r>
          </w:p>
        </w:tc>
        <w:tc>
          <w:tcPr>
            <w:tcW w:w="1384"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字体</w:t>
            </w:r>
          </w:p>
        </w:tc>
        <w:tc>
          <w:tcPr>
            <w:tcW w:w="1701"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大黑、时尚中黑、大隶书</w:t>
            </w:r>
          </w:p>
        </w:tc>
        <w:tc>
          <w:tcPr>
            <w:tcW w:w="1485"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黑体</w:t>
            </w:r>
          </w:p>
        </w:tc>
        <w:tc>
          <w:tcPr>
            <w:tcW w:w="1560"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黑体、魏碑、大宋</w:t>
            </w:r>
          </w:p>
        </w:tc>
        <w:tc>
          <w:tcPr>
            <w:tcW w:w="1559"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雅黑、中宋</w:t>
            </w:r>
          </w:p>
        </w:tc>
        <w:tc>
          <w:tcPr>
            <w:tcW w:w="1384"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字号</w:t>
            </w:r>
          </w:p>
        </w:tc>
        <w:tc>
          <w:tcPr>
            <w:tcW w:w="1701"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50～70磅</w:t>
            </w:r>
          </w:p>
        </w:tc>
        <w:tc>
          <w:tcPr>
            <w:tcW w:w="1485"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36～40磅</w:t>
            </w:r>
          </w:p>
        </w:tc>
        <w:tc>
          <w:tcPr>
            <w:tcW w:w="1560"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36～40磅</w:t>
            </w:r>
          </w:p>
        </w:tc>
        <w:tc>
          <w:tcPr>
            <w:tcW w:w="1559"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24～32磅</w:t>
            </w:r>
          </w:p>
        </w:tc>
        <w:tc>
          <w:tcPr>
            <w:tcW w:w="1384"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应用</w:t>
            </w:r>
          </w:p>
        </w:tc>
        <w:tc>
          <w:tcPr>
            <w:tcW w:w="1701"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上下左右居中</w:t>
            </w:r>
          </w:p>
        </w:tc>
        <w:tc>
          <w:tcPr>
            <w:tcW w:w="1485"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左右居中</w:t>
            </w:r>
          </w:p>
        </w:tc>
        <w:tc>
          <w:tcPr>
            <w:tcW w:w="1560"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左右居中</w:t>
            </w:r>
          </w:p>
        </w:tc>
        <w:tc>
          <w:tcPr>
            <w:tcW w:w="1559"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左对齐或居中</w:t>
            </w:r>
          </w:p>
        </w:tc>
        <w:tc>
          <w:tcPr>
            <w:tcW w:w="1384" w:type="dxa"/>
            <w:vAlign w:val="center"/>
          </w:tcPr>
          <w:p>
            <w:pPr>
              <w:pStyle w:val="6"/>
              <w:pageBreakBefore w:val="0"/>
              <w:tabs>
                <w:tab w:val="left" w:pos="1365"/>
              </w:tabs>
              <w:kinsoku/>
              <w:wordWrap/>
              <w:overflowPunct/>
              <w:topLinePunct w:val="0"/>
              <w:bidi w:val="0"/>
              <w:adjustRightInd w:val="0"/>
              <w:snapToGrid w:val="0"/>
              <w:spacing w:line="4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左右居中</w:t>
            </w:r>
          </w:p>
        </w:tc>
      </w:tr>
    </w:tbl>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3.版心与版式</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每页四周留出空白，应避免内容顶到页面边缘，边界安全区域分别为左、右130像素内，上、下90像素内。</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4.背景</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（1）背景色以简洁适中饱和度为主（颜色保持在一至两种色系内）；</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（2）背景和场景不宜变化过多；</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（3）文字、图形等内容应与背景对比醒目。</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色调</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（1）色彩的选配应与课程科目相吻合；</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（2）每一短视频或一系列短视频在配色上应体现出系统性，可选一种主色调再加上一至两种辅助色进行匹配；</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（3）同一屏里文字不宜超出三种颜色。</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6.字距与行距</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（1）标题：在文字少的情形下，字距放宽一倍体现舒展性；</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（2）正文：行距使用1行或1.5行，便于阅读。</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 配图</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（1）图像应清晰并能反映出内容主题思想，分辨率应上72dpi以上；</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（2）保持图像宽高比例，不可变形；</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（3）图形使用应通俗易懂，便于理解。</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 修饰</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（1）细线条的运用比粗线条更显精致；</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（2）扁平式的装饰更接近时代审美；</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（3）有趣味的装饰通常更能吸引人。</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 版权来源</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素材选用注意版权。不得使用未经授权的素材，经授权的素材需加入“版权来源”信息。</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10.其它</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提供素材管理工具，主要</w:t>
      </w:r>
      <w:r>
        <w:rPr>
          <w:rFonts w:hint="eastAsia" w:asciiTheme="minorEastAsia" w:hAnsiTheme="minorEastAsia" w:eastAsiaTheme="minorEastAsia" w:cstheme="minorEastAsia"/>
          <w:color w:val="000000" w:themeColor="text1"/>
          <w:sz w:val="24"/>
          <w:szCs w:val="24"/>
          <w14:textFill>
            <w14:solidFill>
              <w14:schemeClr w14:val="tx1"/>
            </w14:solidFill>
          </w14:textFill>
        </w:rPr>
        <w:t>用于课程资源制作过程中资源素材的调用，参数如下：</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支持对专用教学文件、教学素材文档管理，管理的专用教学文件包括(cxp、exb、dwg、ics格式文档)，管理的教学素材文档包括(pdf、jpg、bmp、doc、txt、ppt、xls等格式)。系统提供共享的文档树对文档进行分类管理；平台支持对教学文件和素材文档系统内在线浏览，无需打开第三方工具；</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（需现场演示，不演示或演示不符合要求的按无效处理）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2）产品结构树：导入专用教学文件，系统自动提取总装图信息建立产品结构树，按照企业实际应用建立多级结构关系。</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（需现场演示，不演示或演示不符合要求的按无效处理）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4）格式加密：对存储的文件格式自动的加密，作业和教案等文件输出控制等；</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版本控制：版本管理指文件在平台中的生命周期，生命周期具体指文件的入库、出库、发布、重发布、归档等阶段，对应的文档有版本和工作版本之分。支持版本回滚和清除；是素材管理系统中的资源在反复修改后能自动保存多个版本，无需人员通过另存或修改文件名建立新的工作版本，可根据教学需要让教学人员使用其中的指定的某一个版本为默认版本。</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（需现场演示，不演示或演示不符合要求的按无效处理）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查询与借用：在数据集中管理的基础上，实现对专用教学文件、素材文件等信息的查找。输入查询条件（条件：文件代号、页面大小、创建时间、包含、等于、大于、小于等），对于查询结果可以直接利用，查询结果可以直接用于教学，并且可以在结果上进行数据复制和借用两种文件重复利用操作。当选择借用是指其它用户对创建人的文件进行借用，只能浏览，不能对文件进行出库、入库、发布、重发布、归档等操作，当创建人更改原文件时，被借用文件将第一时间跟着原文件进行自动更新，显示创建人最终更改的内容。</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（需现场演示，不演示或演示不符合要求的按无效处理）</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 xml:space="preserve"> (三)现场演示要求</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 xml:space="preserve"> 投标人需对以下条款进行现场演示(视频或PPT演示无效)，不演示或演示不符合要求的按无效标处理，演示总时间不超过1</w:t>
      </w:r>
      <w:r>
        <w:rPr>
          <w:rFonts w:hint="eastAsia" w:asciiTheme="minorEastAsia" w:hAnsiTheme="minorEastAsia" w:eastAsiaTheme="minorEastAsia" w:cstheme="minorEastAsia"/>
          <w:color w:val="FF0000"/>
          <w:sz w:val="24"/>
          <w:szCs w:val="24"/>
          <w:lang w:val="en-US" w:eastAsia="zh-CN"/>
        </w:rPr>
        <w:t>0</w:t>
      </w:r>
      <w:r>
        <w:rPr>
          <w:rFonts w:hint="eastAsia" w:asciiTheme="minorEastAsia" w:hAnsiTheme="minorEastAsia" w:eastAsiaTheme="minorEastAsia" w:cstheme="minorEastAsia"/>
          <w:color w:val="FF0000"/>
          <w:sz w:val="24"/>
          <w:szCs w:val="24"/>
        </w:rPr>
        <w:t>分钟。</w:t>
      </w:r>
    </w:p>
    <w:p>
      <w:pPr>
        <w:pStyle w:val="6"/>
        <w:pageBreakBefore w:val="0"/>
        <w:tabs>
          <w:tab w:val="left" w:pos="1365"/>
        </w:tabs>
        <w:kinsoku/>
        <w:wordWrap/>
        <w:overflowPunct/>
        <w:topLinePunct w:val="0"/>
        <w:bidi w:val="0"/>
        <w:adjustRightInd w:val="0"/>
        <w:snapToGrid w:val="0"/>
        <w:spacing w:line="460" w:lineRule="exact"/>
        <w:ind w:left="0" w:leftChars="0" w:firstLine="482"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现场演示内容具体要求如下：</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支持对专用教学文件、教学素材文档管理，管理的专用教学文件包括(cxp、exb、dwg、ics格式文档)，管理的教学素材文档包括(pdf、jpg、bmp、doc、txt、ppt、xls等格式)。系统提供共享的文档树对文档进行分类管理；平台支持对教学文件和素材文档系统内在线浏览，无需打开第三方工具；</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2、产品结构树：导入专用教学文件，系统自动提取总装图信息建立产品结构树，按照企业实际应用建立多级结构关系。</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版本控制：版本管理指文件在平台中的生命周期，生命周期具体指文件的入库、出库、发布、重发布、归档等阶段，对应的文档有版本和工作版本之分。支持版本回滚和清除；是素材管理系统中的资源在反复修改后能自动保存多个版本，无需人员通过另存或修改文件名建立新的工作版本，可根据教学需要让教学人员使用其中的指定的某一个版本为默认版本。</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4、查询与借用：在数据集中管理的基础上，实现对专用教学文件、素材文件等信息的查找。输入查询条件（条件：文件代号、页面大小、创建时间、包含、等于、大于、小于等），对于查询结果可以直接利用，查询结果可以直接用于教学，并且可以在结果上进行数据复制和借用两种文件重复利用操作。当选择借用是指其它用户对创建人的文件进行借用，只能浏览，不能对文件进行出库、入库、发布、重发布、归档等操作，当创建人更改原文件时，被借用文件将第一时间跟着原文件进行自动更新，显示创建人最终更改的内容。</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1.1本次招标活动允许满足或优于招标文件要求的国产产品来投标。</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1.2本项目为整体采购，供应商可对上述所有的货物和服务进行完整报价，但不得仅对部分货物或服务进行报价，报价不得超过项目最高限价，否则其报价将被拒绝。</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本项目的投标总报价为项目经采购人验收合格并交付使用所有可能发生的费用，包括货物供应、运输、检验、验收(包括车旅费、专家费等)、保险费、采购保管、产品检验检测、现场培训、税收、售后服务等费用。</w:t>
      </w:r>
    </w:p>
    <w:p>
      <w:pPr>
        <w:pStyle w:val="6"/>
        <w:pageBreakBefore w:val="0"/>
        <w:tabs>
          <w:tab w:val="left" w:pos="1365"/>
        </w:tabs>
        <w:kinsoku/>
        <w:wordWrap/>
        <w:overflowPunct/>
        <w:topLinePunct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1.4投标人应根据招标文件的技术要求条款，在投标文件中详细说明所提供设备的品牌、技术规格和参数、产地和制造商的名称。</w:t>
      </w:r>
    </w:p>
    <w:p>
      <w:pPr>
        <w:pStyle w:val="5"/>
        <w:numPr>
          <w:ilvl w:val="0"/>
          <w:numId w:val="8"/>
        </w:numPr>
        <w:autoSpaceDE/>
        <w:autoSpaceDN/>
        <w:adjustRightInd/>
        <w:spacing w:before="156" w:beforeLines="50" w:after="156" w:afterLines="50" w:line="500" w:lineRule="exact"/>
        <w:jc w:val="both"/>
        <w:textAlignment w:val="auto"/>
        <w:rPr>
          <w:rFonts w:hint="eastAsia" w:hAnsi="宋体"/>
          <w:color w:val="000000" w:themeColor="text1"/>
          <w:sz w:val="24"/>
          <w:szCs w:val="24"/>
          <w14:textFill>
            <w14:solidFill>
              <w14:schemeClr w14:val="tx1"/>
            </w14:solidFill>
          </w14:textFill>
        </w:rPr>
      </w:pPr>
      <w:bookmarkStart w:id="16" w:name="_Toc514145518"/>
      <w:bookmarkStart w:id="17" w:name="_Toc10035514"/>
      <w:r>
        <w:rPr>
          <w:rFonts w:hint="eastAsia" w:hAnsi="宋体"/>
          <w:color w:val="000000" w:themeColor="text1"/>
          <w:sz w:val="24"/>
          <w:szCs w:val="24"/>
          <w14:textFill>
            <w14:solidFill>
              <w14:schemeClr w14:val="tx1"/>
            </w14:solidFill>
          </w14:textFill>
        </w:rPr>
        <w:t>其他要求</w:t>
      </w:r>
      <w:bookmarkEnd w:id="16"/>
      <w:bookmarkEnd w:id="17"/>
    </w:p>
    <w:p>
      <w:pPr>
        <w:pStyle w:val="6"/>
        <w:numPr>
          <w:ilvl w:val="0"/>
          <w:numId w:val="0"/>
        </w:numPr>
        <w:ind w:firstLine="482" w:firstLineChars="200"/>
        <w:rPr>
          <w:rFonts w:hint="default"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2.1投标人必须提供管材样板铝合金材料用料实物，如实物不符合文件标准参数规格则视为不合格！</w:t>
      </w:r>
    </w:p>
    <w:p>
      <w:pPr>
        <w:pStyle w:val="6"/>
        <w:numPr>
          <w:ilvl w:val="0"/>
          <w:numId w:val="0"/>
        </w:numPr>
        <w:tabs>
          <w:tab w:val="left" w:pos="1260"/>
        </w:tabs>
        <w:adjustRightInd w:val="0"/>
        <w:snapToGrid w:val="0"/>
        <w:spacing w:line="500" w:lineRule="exact"/>
        <w:ind w:firstLine="480" w:firstLineChars="200"/>
        <w:rPr>
          <w:rFonts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2.2</w:t>
      </w:r>
      <w:r>
        <w:rPr>
          <w:rFonts w:hint="eastAsia" w:ascii="宋体" w:hAnsi="宋体" w:cs="Courier New"/>
          <w:bCs/>
          <w:iCs/>
          <w:color w:val="000000" w:themeColor="text1"/>
          <w:sz w:val="24"/>
          <w:szCs w:val="21"/>
          <w14:textFill>
            <w14:solidFill>
              <w14:schemeClr w14:val="tx1"/>
            </w14:solidFill>
          </w14:textFill>
        </w:rPr>
        <w:t>投标人</w:t>
      </w:r>
      <w:r>
        <w:rPr>
          <w:rFonts w:ascii="宋体" w:hAnsi="宋体" w:cs="Courier New"/>
          <w:bCs/>
          <w:iCs/>
          <w:color w:val="000000" w:themeColor="text1"/>
          <w:sz w:val="24"/>
          <w:szCs w:val="21"/>
          <w14:textFill>
            <w14:solidFill>
              <w14:schemeClr w14:val="tx1"/>
            </w14:solidFill>
          </w14:textFill>
        </w:rPr>
        <w:t>所提供的货物必须是自身合法生产的或通过正当合法来源获得的全新的产品，并对之具有完全所有权；</w:t>
      </w:r>
    </w:p>
    <w:p>
      <w:pPr>
        <w:pStyle w:val="6"/>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2.3</w:t>
      </w:r>
      <w:r>
        <w:rPr>
          <w:rFonts w:hint="eastAsia" w:ascii="宋体" w:hAnsi="宋体" w:cs="Courier New"/>
          <w:bCs/>
          <w:iCs/>
          <w:color w:val="000000" w:themeColor="text1"/>
          <w:sz w:val="24"/>
          <w:szCs w:val="21"/>
          <w14:textFill>
            <w14:solidFill>
              <w14:schemeClr w14:val="tx1"/>
            </w14:solidFill>
          </w14:textFill>
        </w:rPr>
        <w:t>投标人应担保提供的货物上（包括设计及相关技术）不存在订立合同时不为采购方所知</w:t>
      </w:r>
      <w:r>
        <w:rPr>
          <w:rFonts w:ascii="宋体" w:hAnsi="宋体" w:cs="Courier New"/>
          <w:bCs/>
          <w:iCs/>
          <w:color w:val="000000" w:themeColor="text1"/>
          <w:sz w:val="24"/>
          <w:szCs w:val="21"/>
          <w14:textFill>
            <w14:solidFill>
              <w14:schemeClr w14:val="tx1"/>
            </w14:solidFill>
          </w14:textFill>
        </w:rPr>
        <w:t>任何第三方</w:t>
      </w:r>
      <w:r>
        <w:rPr>
          <w:rFonts w:hint="eastAsia" w:ascii="宋体" w:hAnsi="宋体" w:cs="Courier New"/>
          <w:bCs/>
          <w:iCs/>
          <w:color w:val="000000" w:themeColor="text1"/>
          <w:sz w:val="24"/>
          <w:szCs w:val="21"/>
          <w14:textFill>
            <w14:solidFill>
              <w14:schemeClr w14:val="tx1"/>
            </w14:solidFill>
          </w14:textFill>
        </w:rPr>
        <w:t>的权利，如抵押权、留置权等；</w:t>
      </w:r>
    </w:p>
    <w:p>
      <w:pPr>
        <w:pStyle w:val="6"/>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2.4</w:t>
      </w:r>
      <w:r>
        <w:rPr>
          <w:rFonts w:hint="eastAsia" w:ascii="宋体" w:hAnsi="宋体" w:cs="Courier New"/>
          <w:bCs/>
          <w:iCs/>
          <w:color w:val="000000" w:themeColor="text1"/>
          <w:sz w:val="24"/>
          <w:szCs w:val="21"/>
          <w14:textFill>
            <w14:solidFill>
              <w14:schemeClr w14:val="tx1"/>
            </w14:solidFill>
          </w14:textFill>
        </w:rPr>
        <w:t>本技术与规格要求未详尽处，中标供应商应执行国家有关技术规范和标准；</w:t>
      </w:r>
    </w:p>
    <w:p>
      <w:pPr>
        <w:pStyle w:val="6"/>
        <w:numPr>
          <w:ilvl w:val="0"/>
          <w:numId w:val="0"/>
        </w:numPr>
        <w:tabs>
          <w:tab w:val="left" w:pos="1260"/>
        </w:tabs>
        <w:adjustRightInd w:val="0"/>
        <w:snapToGrid w:val="0"/>
        <w:spacing w:line="500" w:lineRule="exact"/>
        <w:ind w:firstLine="480" w:firstLineChars="200"/>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2.5</w:t>
      </w:r>
      <w:r>
        <w:rPr>
          <w:rFonts w:hint="eastAsia" w:ascii="宋体" w:hAnsi="宋体" w:cs="Courier New"/>
          <w:bCs/>
          <w:iCs/>
          <w:color w:val="000000" w:themeColor="text1"/>
          <w:sz w:val="24"/>
          <w:szCs w:val="21"/>
          <w14:textFill>
            <w14:solidFill>
              <w14:schemeClr w14:val="tx1"/>
            </w14:solidFill>
          </w14:textFill>
        </w:rPr>
        <w:t>采购文件所提供的技术资料投标供应商须响应，投标人可以在此基础上提供更优更好的产品及技术，但所提供货物的结构、外形及技术等均不得侵权，否则由此产生的责任均由投标人承担；</w:t>
      </w:r>
    </w:p>
    <w:p>
      <w:pPr>
        <w:pStyle w:val="6"/>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Courier New"/>
          <w:bCs/>
          <w:iCs/>
          <w:color w:val="000000" w:themeColor="text1"/>
          <w:sz w:val="24"/>
          <w:szCs w:val="21"/>
          <w14:textFill>
            <w14:solidFill>
              <w14:schemeClr w14:val="tx1"/>
            </w14:solidFill>
          </w14:textFill>
        </w:rPr>
      </w:pPr>
      <w:r>
        <w:rPr>
          <w:rFonts w:hint="eastAsia" w:ascii="宋体" w:hAnsi="宋体" w:cs="Courier New"/>
          <w:bCs/>
          <w:iCs/>
          <w:color w:val="000000" w:themeColor="text1"/>
          <w:sz w:val="24"/>
          <w:szCs w:val="21"/>
          <w:lang w:val="en-US" w:eastAsia="zh-CN"/>
          <w14:textFill>
            <w14:solidFill>
              <w14:schemeClr w14:val="tx1"/>
            </w14:solidFill>
          </w14:textFill>
        </w:rPr>
        <w:t>2.6</w:t>
      </w:r>
      <w:r>
        <w:rPr>
          <w:rFonts w:hint="eastAsia" w:ascii="宋体" w:hAnsi="宋体" w:cs="Courier New"/>
          <w:bCs/>
          <w:iCs/>
          <w:color w:val="000000" w:themeColor="text1"/>
          <w:sz w:val="24"/>
          <w:szCs w:val="21"/>
          <w14:textFill>
            <w14:solidFill>
              <w14:schemeClr w14:val="tx1"/>
            </w14:solidFill>
          </w14:textFill>
        </w:rPr>
        <w:t>投标人所提供的货物技术规格、安装标准及技术规范等必须符合国家和行业规定标准、规范要求。</w:t>
      </w:r>
    </w:p>
    <w:p>
      <w:pPr>
        <w:pStyle w:val="6"/>
        <w:pageBreakBefore w:val="0"/>
        <w:widowControl w:val="0"/>
        <w:numPr>
          <w:ilvl w:val="0"/>
          <w:numId w:val="8"/>
        </w:numPr>
        <w:tabs>
          <w:tab w:val="left" w:pos="1260"/>
        </w:tabs>
        <w:kinsoku/>
        <w:wordWrap/>
        <w:overflowPunct/>
        <w:topLinePunct w:val="0"/>
        <w:autoSpaceDE/>
        <w:autoSpaceDN/>
        <w:bidi w:val="0"/>
        <w:adjustRightInd w:val="0"/>
        <w:snapToGrid w:val="0"/>
        <w:spacing w:line="440" w:lineRule="exact"/>
        <w:ind w:left="425" w:leftChars="0" w:hanging="425" w:firstLineChars="0"/>
        <w:textAlignment w:val="auto"/>
        <w:rPr>
          <w:rFonts w:ascii="宋体" w:hAnsi="宋体" w:cs="宋体"/>
          <w:b/>
          <w:bCs/>
          <w:kern w:val="0"/>
          <w:sz w:val="28"/>
          <w:szCs w:val="28"/>
        </w:rPr>
      </w:pPr>
      <w:r>
        <w:rPr>
          <w:rFonts w:ascii="宋体" w:hAnsi="宋体" w:cs="宋体"/>
          <w:b/>
          <w:bCs/>
          <w:kern w:val="0"/>
          <w:sz w:val="28"/>
          <w:szCs w:val="28"/>
        </w:rPr>
        <w:t>商务条件(以“</w:t>
      </w:r>
      <w:r>
        <w:rPr>
          <w:rFonts w:hint="eastAsia" w:ascii="宋体" w:hAnsi="宋体" w:cs="宋体"/>
          <w:b/>
          <w:bCs/>
          <w:kern w:val="0"/>
          <w:sz w:val="28"/>
          <w:szCs w:val="28"/>
        </w:rPr>
        <w:t>★</w:t>
      </w:r>
      <w:r>
        <w:rPr>
          <w:rFonts w:ascii="宋体" w:hAnsi="宋体"/>
          <w:b/>
          <w:bCs/>
          <w:kern w:val="0"/>
          <w:sz w:val="28"/>
          <w:szCs w:val="28"/>
        </w:rPr>
        <w:t>”</w:t>
      </w:r>
      <w:r>
        <w:rPr>
          <w:rFonts w:ascii="宋体" w:hAnsi="宋体" w:cs="宋体"/>
          <w:b/>
          <w:bCs/>
          <w:kern w:val="0"/>
          <w:sz w:val="28"/>
          <w:szCs w:val="28"/>
        </w:rPr>
        <w:t>标示的内容为不允许负偏离的实质性要求)</w:t>
      </w:r>
    </w:p>
    <w:p>
      <w:pPr>
        <w:spacing w:line="276" w:lineRule="auto"/>
        <w:rPr>
          <w:rFonts w:hint="eastAsia" w:ascii="宋体" w:hAnsi="宋体"/>
          <w:b/>
          <w:kern w:val="0"/>
          <w:sz w:val="24"/>
          <w:szCs w:val="24"/>
        </w:rPr>
      </w:pPr>
      <w:r>
        <w:rPr>
          <w:rFonts w:ascii="宋体" w:hAnsi="宋体"/>
          <w:b/>
          <w:kern w:val="0"/>
          <w:sz w:val="24"/>
          <w:szCs w:val="24"/>
        </w:rPr>
        <w:t>包：1</w:t>
      </w:r>
      <w:r>
        <w:rPr>
          <w:rFonts w:ascii="宋体" w:hAnsi="宋体"/>
          <w:b/>
          <w:kern w:val="0"/>
          <w:sz w:val="24"/>
          <w:szCs w:val="24"/>
        </w:rPr>
        <w:br w:type="textWrapping"/>
      </w:r>
      <w:r>
        <w:rPr>
          <w:rFonts w:ascii="宋体" w:hAnsi="宋体"/>
          <w:b/>
          <w:kern w:val="0"/>
          <w:sz w:val="24"/>
          <w:szCs w:val="24"/>
        </w:rPr>
        <w:t>1、交付地点：</w:t>
      </w:r>
      <w:r>
        <w:rPr>
          <w:rFonts w:hint="eastAsia" w:ascii="宋体" w:hAnsi="宋体"/>
          <w:b/>
          <w:kern w:val="0"/>
          <w:sz w:val="24"/>
          <w:szCs w:val="24"/>
        </w:rPr>
        <w:t>采购人（湄洲湾职业技术学院）指定地点</w:t>
      </w:r>
    </w:p>
    <w:p>
      <w:pPr>
        <w:spacing w:line="276" w:lineRule="auto"/>
        <w:rPr>
          <w:rFonts w:hint="eastAsia" w:ascii="宋体" w:hAnsi="宋体"/>
          <w:b/>
          <w:kern w:val="0"/>
          <w:sz w:val="24"/>
          <w:szCs w:val="24"/>
        </w:rPr>
      </w:pPr>
      <w:r>
        <w:rPr>
          <w:rFonts w:ascii="宋体" w:hAnsi="宋体"/>
          <w:b/>
          <w:kern w:val="0"/>
          <w:sz w:val="24"/>
          <w:szCs w:val="24"/>
        </w:rPr>
        <w:t>2、交付时间：合同签订后 (</w:t>
      </w:r>
      <w:r>
        <w:rPr>
          <w:rFonts w:hint="eastAsia" w:ascii="宋体" w:hAnsi="宋体"/>
          <w:b/>
          <w:kern w:val="0"/>
          <w:sz w:val="24"/>
          <w:szCs w:val="24"/>
        </w:rPr>
        <w:t>30</w:t>
      </w:r>
      <w:r>
        <w:rPr>
          <w:rFonts w:ascii="宋体" w:hAnsi="宋体"/>
          <w:b/>
          <w:kern w:val="0"/>
          <w:sz w:val="24"/>
          <w:szCs w:val="24"/>
        </w:rPr>
        <w:t>) 天内交货</w:t>
      </w:r>
      <w:r>
        <w:rPr>
          <w:rFonts w:hint="eastAsia" w:ascii="宋体" w:hAnsi="宋体"/>
          <w:b/>
          <w:kern w:val="0"/>
          <w:sz w:val="24"/>
          <w:szCs w:val="24"/>
        </w:rPr>
        <w:t>。</w:t>
      </w:r>
    </w:p>
    <w:p>
      <w:pPr>
        <w:spacing w:line="276" w:lineRule="auto"/>
        <w:rPr>
          <w:rFonts w:ascii="宋体" w:hAnsi="宋体"/>
          <w:b/>
          <w:kern w:val="0"/>
          <w:sz w:val="24"/>
          <w:szCs w:val="24"/>
        </w:rPr>
      </w:pPr>
      <w:r>
        <w:rPr>
          <w:rFonts w:ascii="宋体" w:hAnsi="宋体"/>
          <w:b/>
          <w:kern w:val="0"/>
          <w:sz w:val="24"/>
          <w:szCs w:val="24"/>
        </w:rPr>
        <w:t>3、交付条件：指定地点</w:t>
      </w:r>
      <w:r>
        <w:rPr>
          <w:rFonts w:hint="eastAsia" w:ascii="宋体" w:hAnsi="宋体"/>
          <w:b/>
          <w:kern w:val="0"/>
          <w:sz w:val="24"/>
          <w:szCs w:val="24"/>
        </w:rPr>
        <w:t>交付并完成安装</w:t>
      </w:r>
      <w:r>
        <w:rPr>
          <w:rFonts w:ascii="宋体" w:hAnsi="宋体"/>
          <w:b/>
          <w:kern w:val="0"/>
          <w:sz w:val="24"/>
          <w:szCs w:val="24"/>
        </w:rPr>
        <w:br w:type="textWrapping"/>
      </w:r>
      <w:r>
        <w:rPr>
          <w:rFonts w:ascii="宋体" w:hAnsi="宋体"/>
          <w:b/>
          <w:kern w:val="0"/>
          <w:sz w:val="24"/>
          <w:szCs w:val="24"/>
        </w:rPr>
        <w:t>4、是否收取履约保证金：</w:t>
      </w:r>
      <w:r>
        <w:rPr>
          <w:rFonts w:hint="eastAsia" w:ascii="宋体" w:hAnsi="宋体"/>
          <w:b/>
          <w:kern w:val="0"/>
          <w:sz w:val="24"/>
          <w:szCs w:val="24"/>
        </w:rPr>
        <w:t>否</w:t>
      </w:r>
      <w:r>
        <w:rPr>
          <w:rFonts w:ascii="宋体" w:hAnsi="宋体"/>
          <w:b/>
          <w:kern w:val="0"/>
          <w:sz w:val="24"/>
          <w:szCs w:val="24"/>
        </w:rPr>
        <w:br w:type="textWrapping"/>
      </w:r>
      <w:r>
        <w:rPr>
          <w:rFonts w:ascii="宋体" w:hAnsi="宋体"/>
          <w:b/>
          <w:kern w:val="0"/>
          <w:sz w:val="24"/>
          <w:szCs w:val="24"/>
        </w:rPr>
        <w:t>5、是否邀请投标人参与验收：否</w:t>
      </w:r>
      <w:r>
        <w:rPr>
          <w:rFonts w:ascii="宋体" w:hAnsi="宋体"/>
          <w:b/>
          <w:kern w:val="0"/>
          <w:sz w:val="24"/>
          <w:szCs w:val="24"/>
        </w:rPr>
        <w:br w:type="textWrapping"/>
      </w:r>
      <w:r>
        <w:rPr>
          <w:rFonts w:ascii="宋体" w:hAnsi="宋体"/>
          <w:b/>
          <w:kern w:val="0"/>
          <w:sz w:val="24"/>
          <w:szCs w:val="24"/>
        </w:rPr>
        <w:t xml:space="preserve">6、验收方式数据表格 </w:t>
      </w:r>
    </w:p>
    <w:tbl>
      <w:tblPr>
        <w:tblStyle w:val="3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left"/>
              <w:rPr>
                <w:rFonts w:ascii="宋体" w:hAnsi="宋体" w:cs="宋体"/>
                <w:kern w:val="0"/>
                <w:sz w:val="24"/>
                <w:szCs w:val="24"/>
              </w:rPr>
            </w:pPr>
            <w:r>
              <w:rPr>
                <w:rFonts w:ascii="宋体" w:hAnsi="宋体" w:cs="宋体"/>
                <w:kern w:val="0"/>
                <w:sz w:val="24"/>
                <w:szCs w:val="24"/>
              </w:rPr>
              <w:t>1、验收时中标人代表必须在场，招标人将根据招标文件要求、中标人所供货物的规格和产品标准及我国相关技术规范和技术标准进行验收。2、结构、外观、制造、装配材料及工艺要求应符合招标采购要求及投标文件承诺，招标人在验收时如发现不符合招标采购要求的，招标人有权要求中标人进行换货或退货。3、在招标人安装现场进行，最终检验所发生的一切费用由中标人承担。</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31"/>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8"/>
        <w:gridCol w:w="1050"/>
        <w:gridCol w:w="75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768"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w:t>
            </w:r>
          </w:p>
        </w:tc>
        <w:tc>
          <w:tcPr>
            <w:tcW w:w="1050"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支付比例(%)</w:t>
            </w:r>
          </w:p>
        </w:tc>
        <w:tc>
          <w:tcPr>
            <w:tcW w:w="7572"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68"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1050"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w:t>
            </w:r>
            <w:r>
              <w:rPr>
                <w:rFonts w:ascii="宋体" w:hAnsi="宋体" w:cs="宋体"/>
                <w:kern w:val="0"/>
                <w:sz w:val="24"/>
                <w:szCs w:val="24"/>
              </w:rPr>
              <w:t>%</w:t>
            </w:r>
          </w:p>
        </w:tc>
        <w:tc>
          <w:tcPr>
            <w:tcW w:w="7572"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left"/>
              <w:rPr>
                <w:rFonts w:ascii="宋体" w:hAnsi="宋体" w:cs="宋体"/>
                <w:kern w:val="0"/>
                <w:sz w:val="24"/>
                <w:szCs w:val="24"/>
              </w:rPr>
            </w:pPr>
            <w:r>
              <w:rPr>
                <w:rFonts w:hint="eastAsia" w:ascii="宋体" w:hAnsi="宋体"/>
                <w:sz w:val="24"/>
                <w:szCs w:val="24"/>
              </w:rPr>
              <w:t>货到安装并验收合格后付款，招标人不接受需要支付预付款的投标报价。本批招标货物的付款条件为经验收合格后，持有正式发票和用户所开具的验收合格证明，在</w:t>
            </w:r>
            <w:r>
              <w:rPr>
                <w:rFonts w:ascii="宋体" w:hAnsi="宋体"/>
                <w:sz w:val="24"/>
                <w:szCs w:val="24"/>
              </w:rPr>
              <w:t>5</w:t>
            </w:r>
            <w:r>
              <w:rPr>
                <w:rFonts w:hint="eastAsia" w:ascii="宋体" w:hAnsi="宋体"/>
                <w:sz w:val="24"/>
                <w:szCs w:val="24"/>
              </w:rPr>
              <w:t>个工作日内</w:t>
            </w:r>
            <w:r>
              <w:rPr>
                <w:rFonts w:hint="eastAsia" w:ascii="宋体" w:hAnsi="宋体" w:cs="宋体"/>
                <w:sz w:val="24"/>
                <w:szCs w:val="24"/>
              </w:rPr>
              <w:t>一次性付100％货款。</w:t>
            </w:r>
          </w:p>
        </w:tc>
      </w:tr>
    </w:tbl>
    <w:p>
      <w:pPr>
        <w:spacing w:line="276" w:lineRule="auto"/>
        <w:rPr>
          <w:rFonts w:ascii="宋体" w:hAnsi="宋体"/>
          <w:sz w:val="24"/>
          <w:szCs w:val="24"/>
        </w:rPr>
      </w:pPr>
      <w:r>
        <w:rPr>
          <w:rStyle w:val="34"/>
          <w:rFonts w:hint="eastAsia" w:ascii="宋体" w:hAnsi="宋体" w:cs="宋体"/>
          <w:sz w:val="24"/>
          <w:szCs w:val="24"/>
          <w:shd w:val="clear" w:color="auto" w:fill="FFFFFF"/>
        </w:rPr>
        <w:t>8、货物包装方式</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8.1包装：货物交货时应按国家有关标准要求进行包装。</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8.2方式：包装必须与运输方式相适应，包装方式的确定及包装费用均由中标人负责；由于不适当的包装而造成货物在运输过程中有任何损坏由中标人负责。</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注：包装应足以承受整个过程中的运输、转运、装卸、储存等，充分考虑到运输途中的各种情况(如暴露于恶劣气候等)和项目所在地的气候特点，以及露天存放的需要。</w:t>
      </w:r>
    </w:p>
    <w:p>
      <w:pPr>
        <w:spacing w:line="276" w:lineRule="auto"/>
        <w:rPr>
          <w:rFonts w:ascii="宋体" w:hAnsi="宋体"/>
          <w:sz w:val="24"/>
          <w:szCs w:val="24"/>
        </w:rPr>
      </w:pPr>
      <w:r>
        <w:rPr>
          <w:rStyle w:val="34"/>
          <w:rFonts w:hint="eastAsia" w:ascii="宋体" w:hAnsi="宋体" w:cs="宋体"/>
          <w:sz w:val="24"/>
          <w:szCs w:val="24"/>
          <w:shd w:val="clear" w:color="auto" w:fill="FFFFFF"/>
        </w:rPr>
        <w:t>9、安装、调试</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9.1中标人应在签订合同时，向采购人提供安装、调试的进度计划表。</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9.2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9.3中标人负责组织专业技术人员进行设备调试，并向采购人安排的工作人员介绍设备功能。</w:t>
      </w:r>
    </w:p>
    <w:p>
      <w:pPr>
        <w:spacing w:line="276" w:lineRule="auto"/>
        <w:ind w:firstLine="480" w:firstLineChars="200"/>
        <w:rPr>
          <w:rFonts w:ascii="宋体" w:hAnsi="宋体"/>
          <w:sz w:val="24"/>
          <w:szCs w:val="24"/>
        </w:rPr>
      </w:pPr>
      <w:r>
        <w:rPr>
          <w:rFonts w:hint="eastAsia" w:ascii="宋体" w:hAnsi="宋体"/>
          <w:sz w:val="24"/>
          <w:szCs w:val="24"/>
          <w:shd w:val="clear" w:color="auto" w:fill="FFFFFF"/>
        </w:rPr>
        <w:t>9.4设备安装、调试的完工期须按照合同的规定执行。</w:t>
      </w:r>
    </w:p>
    <w:p>
      <w:pPr>
        <w:spacing w:line="276" w:lineRule="auto"/>
        <w:rPr>
          <w:rStyle w:val="34"/>
          <w:rFonts w:ascii="宋体" w:hAnsi="宋体" w:cs="宋体"/>
          <w:sz w:val="24"/>
          <w:szCs w:val="24"/>
          <w:shd w:val="clear" w:color="auto" w:fill="FFFFFF"/>
        </w:rPr>
      </w:pPr>
      <w:r>
        <w:rPr>
          <w:rStyle w:val="34"/>
          <w:rFonts w:hint="eastAsia" w:ascii="宋体" w:hAnsi="宋体" w:cs="宋体"/>
          <w:sz w:val="24"/>
          <w:szCs w:val="24"/>
          <w:shd w:val="clear" w:color="auto" w:fill="FFFFFF"/>
        </w:rPr>
        <w:t>10、售 后服 务要求：</w:t>
      </w:r>
    </w:p>
    <w:p>
      <w:pPr>
        <w:spacing w:line="276" w:lineRule="auto"/>
        <w:ind w:firstLine="432" w:firstLineChars="180"/>
        <w:rPr>
          <w:rFonts w:ascii="宋体" w:hAnsi="宋体"/>
          <w:sz w:val="24"/>
          <w:szCs w:val="24"/>
        </w:rPr>
      </w:pPr>
      <w:r>
        <w:rPr>
          <w:rFonts w:hint="eastAsia" w:ascii="宋体" w:hAnsi="宋体"/>
          <w:sz w:val="24"/>
          <w:szCs w:val="24"/>
        </w:rPr>
        <w:t>10.1</w:t>
      </w:r>
      <w:r>
        <w:rPr>
          <w:rFonts w:hint="eastAsia" w:ascii="宋体" w:hAnsi="宋体" w:cs="宋体"/>
          <w:sz w:val="24"/>
          <w:szCs w:val="24"/>
        </w:rPr>
        <w:t>.自现场交验使用之日起，免费质量保修期为验收合格后</w:t>
      </w:r>
      <w:r>
        <w:rPr>
          <w:rFonts w:hint="eastAsia" w:ascii="宋体" w:hAnsi="宋体" w:cs="宋体"/>
          <w:b/>
          <w:sz w:val="24"/>
          <w:szCs w:val="24"/>
        </w:rPr>
        <w:t>壹年或以上</w:t>
      </w:r>
      <w:r>
        <w:rPr>
          <w:rFonts w:hint="eastAsia" w:ascii="宋体" w:hAnsi="宋体" w:cs="宋体"/>
          <w:sz w:val="24"/>
          <w:szCs w:val="24"/>
        </w:rPr>
        <w:t>(招标一览表中有特殊要求的除外，厂家或国家有更长免费质量保修期限规定的从其规定)。若在质保期间，提供2*6小时优质的技术支持和售后服务。免费进行软件安全调试；中标人应在收到招标人的通知后2小时内响应要求，6小时内派技术上门到达现场，12小时内解决问题。免费保修期满前1个月内中标人应负责对货物进行一次免费全面检查，如发现潜在问题，应负责排除，保证正常运行。若中标</w:t>
      </w:r>
      <w:r>
        <w:rPr>
          <w:rFonts w:hint="eastAsia" w:ascii="宋体" w:hAnsi="宋体"/>
          <w:sz w:val="24"/>
          <w:szCs w:val="24"/>
        </w:rPr>
        <w:t>人未能及时响应并解决的，将直接从质保金进行相应扣款，每出现一次扣人民币1000元。</w:t>
      </w:r>
    </w:p>
    <w:p>
      <w:pPr>
        <w:spacing w:line="276" w:lineRule="auto"/>
        <w:ind w:firstLine="432" w:firstLineChars="180"/>
        <w:rPr>
          <w:rFonts w:hint="eastAsia" w:ascii="宋体" w:hAnsi="宋体"/>
          <w:sz w:val="24"/>
          <w:szCs w:val="24"/>
        </w:rPr>
      </w:pPr>
      <w:r>
        <w:rPr>
          <w:rFonts w:hint="eastAsia" w:ascii="宋体" w:hAnsi="宋体"/>
          <w:sz w:val="24"/>
          <w:szCs w:val="24"/>
        </w:rPr>
        <w:t>10.2.</w:t>
      </w:r>
      <w:r>
        <w:rPr>
          <w:rFonts w:hint="eastAsia" w:ascii="宋体" w:hAnsi="宋体" w:cs="宋体"/>
          <w:sz w:val="24"/>
          <w:szCs w:val="24"/>
        </w:rPr>
        <w:t>软件保修期过后，收到招标人通知后2小时内响应，6小时内派人到达现场解决，承担终身维修服务。维修过程只收取成本费，且以最优惠价格提供。</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10.3.中标人必须负责对设备使用维护人员进行设备安装、调试、操作、使用、维护及结构原理等方面的培训，并承担由此产生的一切费用。</w:t>
      </w:r>
    </w:p>
    <w:p>
      <w:pPr>
        <w:spacing w:line="276" w:lineRule="auto"/>
        <w:rPr>
          <w:rStyle w:val="34"/>
          <w:rFonts w:ascii="宋体" w:hAnsi="宋体" w:cs="宋体"/>
          <w:sz w:val="24"/>
          <w:szCs w:val="24"/>
          <w:shd w:val="clear" w:color="auto" w:fill="FFFFFF"/>
        </w:rPr>
      </w:pPr>
      <w:r>
        <w:rPr>
          <w:rStyle w:val="34"/>
          <w:rFonts w:hint="eastAsia" w:ascii="宋体" w:hAnsi="宋体" w:cs="宋体"/>
          <w:sz w:val="24"/>
          <w:szCs w:val="24"/>
          <w:shd w:val="clear" w:color="auto" w:fill="FFFFFF"/>
        </w:rPr>
        <w:t>11、安装调试</w:t>
      </w:r>
    </w:p>
    <w:p>
      <w:pPr>
        <w:spacing w:line="276" w:lineRule="auto"/>
        <w:ind w:firstLine="480" w:firstLineChars="200"/>
        <w:rPr>
          <w:rFonts w:ascii="宋体" w:hAnsi="宋体" w:cs="宋体"/>
          <w:sz w:val="24"/>
          <w:szCs w:val="24"/>
        </w:rPr>
      </w:pPr>
      <w:r>
        <w:rPr>
          <w:rFonts w:hint="eastAsia" w:ascii="宋体" w:hAnsi="宋体" w:cs="宋体"/>
          <w:sz w:val="24"/>
          <w:szCs w:val="24"/>
        </w:rPr>
        <w:t>11.1、设备运抵安装现场后，招标人将与中标人共同开箱验收，设备包装应按国家标准执行，关键设备应原包装：供货时，交使用单位对包装状况及数量作现场验收，由于包装不善引起的货物锈蚀、损坏和损失均由供货方承担，每件包装内应附质量合格证和装箱单。如中标人届时不派人来，则验收结果应以招标人和当地商检人员的验收报告为最终验收结果。验收时发现短缺、破损，招标人有权要求投标人立即补发和负责更换。中标人应提供主要设备厂家供货证明。</w:t>
      </w:r>
    </w:p>
    <w:p>
      <w:pPr>
        <w:spacing w:line="276" w:lineRule="auto"/>
        <w:ind w:firstLine="482" w:firstLineChars="200"/>
        <w:rPr>
          <w:rFonts w:ascii="宋体" w:hAnsi="宋体" w:cs="宋体"/>
          <w:b/>
          <w:sz w:val="24"/>
          <w:szCs w:val="24"/>
        </w:rPr>
      </w:pPr>
      <w:r>
        <w:rPr>
          <w:rFonts w:hint="eastAsia" w:ascii="宋体" w:hAnsi="宋体" w:cs="宋体"/>
          <w:b/>
          <w:sz w:val="24"/>
          <w:szCs w:val="24"/>
        </w:rPr>
        <w:t>11.2、安装和调试</w:t>
      </w:r>
    </w:p>
    <w:p>
      <w:pPr>
        <w:pStyle w:val="68"/>
        <w:spacing w:line="276" w:lineRule="auto"/>
        <w:ind w:firstLine="511" w:firstLineChars="213"/>
        <w:rPr>
          <w:rFonts w:ascii="宋体" w:hAnsi="宋体"/>
          <w:sz w:val="24"/>
          <w:szCs w:val="24"/>
        </w:rPr>
      </w:pPr>
      <w:r>
        <w:rPr>
          <w:rFonts w:hint="eastAsia" w:ascii="宋体" w:hAnsi="宋体"/>
          <w:sz w:val="24"/>
          <w:szCs w:val="24"/>
        </w:rPr>
        <w:t>1) 合同签订后，按招标人规定的时间内全部设备运到用户要求的安装地点，要求在交货的同时提供关于设备安装、调试、测试、运行维护方面齐全有效的技术资料；在规定的时间内所有设备安装、调试完毕。</w:t>
      </w:r>
    </w:p>
    <w:p>
      <w:pPr>
        <w:pStyle w:val="68"/>
        <w:spacing w:line="276" w:lineRule="auto"/>
        <w:ind w:firstLine="511" w:firstLineChars="213"/>
        <w:rPr>
          <w:rFonts w:ascii="宋体" w:hAnsi="宋体"/>
          <w:sz w:val="24"/>
          <w:szCs w:val="24"/>
        </w:rPr>
      </w:pPr>
      <w:r>
        <w:rPr>
          <w:rFonts w:hint="eastAsia" w:ascii="宋体" w:hAnsi="宋体"/>
          <w:sz w:val="24"/>
          <w:szCs w:val="24"/>
        </w:rPr>
        <w:t>a) 安装调试</w:t>
      </w:r>
    </w:p>
    <w:p>
      <w:pPr>
        <w:pStyle w:val="68"/>
        <w:spacing w:line="276" w:lineRule="auto"/>
        <w:ind w:firstLine="511" w:firstLineChars="213"/>
        <w:rPr>
          <w:rFonts w:ascii="宋体" w:hAnsi="宋体"/>
          <w:sz w:val="24"/>
          <w:szCs w:val="24"/>
        </w:rPr>
      </w:pPr>
      <w:r>
        <w:rPr>
          <w:rFonts w:hint="eastAsia" w:ascii="宋体" w:hAnsi="宋体"/>
          <w:sz w:val="24"/>
          <w:szCs w:val="24"/>
        </w:rPr>
        <w:t>中标人负责系统安装调试工作，提供系统安装所需的安装材料，向招标人提交使用可靠、运行稳定系统。</w:t>
      </w:r>
    </w:p>
    <w:p>
      <w:pPr>
        <w:pStyle w:val="68"/>
        <w:spacing w:line="276" w:lineRule="auto"/>
        <w:ind w:firstLine="511" w:firstLineChars="213"/>
        <w:rPr>
          <w:rFonts w:ascii="宋体" w:hAnsi="宋体"/>
          <w:sz w:val="24"/>
          <w:szCs w:val="24"/>
        </w:rPr>
      </w:pPr>
      <w:r>
        <w:rPr>
          <w:rFonts w:hint="eastAsia" w:ascii="宋体" w:hAnsi="宋体"/>
          <w:sz w:val="24"/>
          <w:szCs w:val="24"/>
        </w:rPr>
        <w:t>b) 测试</w:t>
      </w:r>
    </w:p>
    <w:p>
      <w:pPr>
        <w:pStyle w:val="68"/>
        <w:spacing w:line="276" w:lineRule="auto"/>
        <w:ind w:firstLine="511" w:firstLineChars="213"/>
        <w:rPr>
          <w:rFonts w:ascii="宋体" w:hAnsi="宋体"/>
          <w:sz w:val="24"/>
          <w:szCs w:val="24"/>
        </w:rPr>
      </w:pPr>
      <w:r>
        <w:rPr>
          <w:rFonts w:hint="eastAsia" w:ascii="宋体" w:hAnsi="宋体"/>
          <w:sz w:val="24"/>
          <w:szCs w:val="24"/>
        </w:rPr>
        <w:t>(1)系统安装测试，全部由投标人负责，测试工具由投标人提供的，招标人予以协助配合。</w:t>
      </w:r>
    </w:p>
    <w:p>
      <w:pPr>
        <w:pStyle w:val="68"/>
        <w:spacing w:line="276" w:lineRule="auto"/>
        <w:ind w:firstLine="511" w:firstLineChars="213"/>
        <w:rPr>
          <w:rFonts w:hint="eastAsia" w:ascii="宋体" w:hAnsi="宋体"/>
          <w:sz w:val="24"/>
          <w:szCs w:val="24"/>
        </w:rPr>
      </w:pPr>
      <w:r>
        <w:rPr>
          <w:rFonts w:hint="eastAsia" w:ascii="宋体" w:hAnsi="宋体"/>
          <w:sz w:val="24"/>
          <w:szCs w:val="24"/>
        </w:rPr>
        <w:t>(2)系统测试由投标人负责，投标人测试前应提出完整的测试计划并经招标人确认，包括测试的内容、项目、指标、方法和进度，并提供相应的测试工具。测试过程，投标人有责任对招标人的技术人员提出的问题作出解答。测试应进行详细记录，系统测试结束后，由投标人的技术人员签字后交给招标人验收。</w:t>
      </w:r>
    </w:p>
    <w:p>
      <w:pPr>
        <w:spacing w:line="276" w:lineRule="auto"/>
        <w:ind w:firstLine="434" w:firstLineChars="180"/>
        <w:rPr>
          <w:rFonts w:ascii="宋体" w:hAnsi="宋体"/>
          <w:b/>
          <w:sz w:val="24"/>
          <w:szCs w:val="24"/>
        </w:rPr>
      </w:pPr>
      <w:r>
        <w:rPr>
          <w:rFonts w:hint="eastAsia" w:ascii="宋体" w:hAnsi="宋体"/>
          <w:b/>
          <w:sz w:val="24"/>
          <w:szCs w:val="24"/>
        </w:rPr>
        <w:t>11.3、技术培训</w:t>
      </w:r>
    </w:p>
    <w:p>
      <w:pPr>
        <w:spacing w:line="276" w:lineRule="auto"/>
        <w:ind w:firstLine="480" w:firstLineChars="200"/>
        <w:rPr>
          <w:rFonts w:ascii="宋体" w:hAnsi="宋体" w:cs="宋体"/>
          <w:sz w:val="24"/>
          <w:szCs w:val="24"/>
        </w:rPr>
      </w:pPr>
      <w:r>
        <w:rPr>
          <w:rFonts w:hint="eastAsia" w:ascii="宋体" w:hAnsi="宋体" w:cs="宋体"/>
          <w:sz w:val="24"/>
          <w:szCs w:val="24"/>
        </w:rPr>
        <w:t>(1)中标人应有计划的对招标人的业务、维护、操作及管理人员进行培训。中标人应制订招标人人员的培训计划和内容。因中标人的原因导致培训不能按期完成或未达到预期培训目标，招标人有权要求中标人重新进行培训，所有费用应由中标人承担。</w:t>
      </w:r>
    </w:p>
    <w:p>
      <w:pPr>
        <w:spacing w:line="276" w:lineRule="auto"/>
        <w:ind w:firstLine="480" w:firstLineChars="200"/>
        <w:rPr>
          <w:rFonts w:ascii="宋体" w:hAnsi="宋体" w:cs="宋体"/>
          <w:sz w:val="24"/>
          <w:szCs w:val="24"/>
        </w:rPr>
      </w:pPr>
      <w:r>
        <w:rPr>
          <w:rFonts w:hint="eastAsia" w:ascii="宋体" w:hAnsi="宋体" w:cs="宋体"/>
          <w:sz w:val="24"/>
          <w:szCs w:val="24"/>
        </w:rPr>
        <w:t>(2)培训内容要求</w:t>
      </w:r>
    </w:p>
    <w:p>
      <w:pPr>
        <w:spacing w:line="276" w:lineRule="auto"/>
        <w:ind w:firstLine="480" w:firstLineChars="200"/>
        <w:rPr>
          <w:rFonts w:ascii="宋体" w:hAnsi="宋体" w:cs="宋体"/>
          <w:sz w:val="24"/>
          <w:szCs w:val="24"/>
        </w:rPr>
      </w:pPr>
      <w:r>
        <w:rPr>
          <w:rFonts w:hint="eastAsia" w:ascii="宋体" w:hAnsi="宋体" w:cs="宋体"/>
          <w:sz w:val="24"/>
          <w:szCs w:val="24"/>
        </w:rPr>
        <w:t>中标人应提出详细的培训方案和培训计划，以确保招标人的相关人员能管理、操作、维护本系统、以及系统正常运行和相关业务的顺利发展。中标人应对招标人操作、维护、管理人员进行全面的技术培训。培训内容应包括本项目中全部应用系统使用培训。</w:t>
      </w:r>
    </w:p>
    <w:p>
      <w:pPr>
        <w:spacing w:line="276" w:lineRule="auto"/>
        <w:ind w:firstLine="434" w:firstLineChars="180"/>
        <w:rPr>
          <w:rFonts w:ascii="宋体" w:hAnsi="宋体"/>
          <w:b/>
          <w:sz w:val="24"/>
          <w:szCs w:val="24"/>
        </w:rPr>
      </w:pPr>
      <w:r>
        <w:rPr>
          <w:rFonts w:hint="eastAsia" w:ascii="宋体" w:hAnsi="宋体"/>
          <w:b/>
          <w:sz w:val="24"/>
          <w:szCs w:val="24"/>
        </w:rPr>
        <w:t>11.4、技术资料要求</w:t>
      </w:r>
    </w:p>
    <w:p>
      <w:pPr>
        <w:spacing w:line="276" w:lineRule="auto"/>
        <w:ind w:firstLine="432" w:firstLineChars="180"/>
        <w:rPr>
          <w:rFonts w:ascii="宋体" w:hAnsi="宋体"/>
          <w:sz w:val="24"/>
          <w:szCs w:val="24"/>
        </w:rPr>
      </w:pPr>
      <w:r>
        <w:rPr>
          <w:rFonts w:hint="eastAsia" w:ascii="宋体" w:hAnsi="宋体"/>
          <w:sz w:val="24"/>
          <w:szCs w:val="24"/>
        </w:rPr>
        <w:t>厂家长期提供技术支持，并免费提供所有公开发表的应用文献和最新仪器有关资料、通讯和用户论文集等。免费提供仪器使用手册、培训教材、应用文章等。</w:t>
      </w:r>
    </w:p>
    <w:p>
      <w:pPr>
        <w:spacing w:line="276" w:lineRule="auto"/>
        <w:ind w:firstLine="432" w:firstLineChars="180"/>
        <w:rPr>
          <w:rFonts w:ascii="宋体" w:hAnsi="宋体"/>
          <w:sz w:val="24"/>
          <w:szCs w:val="24"/>
        </w:rPr>
      </w:pPr>
      <w:r>
        <w:rPr>
          <w:rFonts w:hint="eastAsia" w:ascii="宋体" w:hAnsi="宋体"/>
          <w:sz w:val="24"/>
          <w:szCs w:val="24"/>
        </w:rPr>
        <w:t>卖方应向买方提供不少于以下列明的中文(或英文)技术资料，在设备交货时随机提供；并提供货物原装品 牌的证明文件或资料，其费用应包括在报价内。若提供的技术资料为外文原版，应提供其中文翻译件，中文技术资料文件作为技术资料主件。</w:t>
      </w:r>
    </w:p>
    <w:p>
      <w:pPr>
        <w:spacing w:line="276" w:lineRule="auto"/>
        <w:ind w:firstLine="432" w:firstLineChars="180"/>
        <w:rPr>
          <w:rFonts w:ascii="宋体" w:hAnsi="宋体"/>
          <w:sz w:val="24"/>
          <w:szCs w:val="24"/>
        </w:rPr>
      </w:pPr>
      <w:r>
        <w:rPr>
          <w:rFonts w:hint="eastAsia" w:ascii="宋体" w:hAnsi="宋体"/>
          <w:sz w:val="24"/>
          <w:szCs w:val="24"/>
        </w:rPr>
        <w:t>1) 出厂明细表(装箱单)；</w:t>
      </w:r>
    </w:p>
    <w:p>
      <w:pPr>
        <w:spacing w:line="276" w:lineRule="auto"/>
        <w:ind w:firstLine="432" w:firstLineChars="180"/>
        <w:rPr>
          <w:rFonts w:ascii="宋体" w:hAnsi="宋体"/>
          <w:sz w:val="24"/>
          <w:szCs w:val="24"/>
        </w:rPr>
      </w:pPr>
      <w:r>
        <w:rPr>
          <w:rFonts w:hint="eastAsia" w:ascii="宋体" w:hAnsi="宋体"/>
          <w:sz w:val="24"/>
          <w:szCs w:val="24"/>
        </w:rPr>
        <w:t>2) 出厂检验报告、合格证书及生产厂家供货确认函；</w:t>
      </w:r>
    </w:p>
    <w:p>
      <w:pPr>
        <w:spacing w:line="276" w:lineRule="auto"/>
        <w:ind w:firstLine="432" w:firstLineChars="180"/>
        <w:rPr>
          <w:rFonts w:ascii="宋体" w:hAnsi="宋体"/>
          <w:sz w:val="24"/>
          <w:szCs w:val="24"/>
        </w:rPr>
      </w:pPr>
      <w:r>
        <w:rPr>
          <w:rFonts w:hint="eastAsia" w:ascii="宋体" w:hAnsi="宋体"/>
          <w:sz w:val="24"/>
          <w:szCs w:val="24"/>
        </w:rPr>
        <w:t>3) 产品技术说明书；</w:t>
      </w:r>
    </w:p>
    <w:p>
      <w:pPr>
        <w:spacing w:line="276" w:lineRule="auto"/>
        <w:ind w:firstLine="432" w:firstLineChars="180"/>
        <w:rPr>
          <w:rFonts w:ascii="宋体" w:hAnsi="宋体"/>
          <w:sz w:val="24"/>
          <w:szCs w:val="24"/>
        </w:rPr>
      </w:pPr>
      <w:r>
        <w:rPr>
          <w:rFonts w:hint="eastAsia" w:ascii="宋体" w:hAnsi="宋体"/>
          <w:sz w:val="24"/>
          <w:szCs w:val="24"/>
        </w:rPr>
        <w:t>4) 安装手册(含所需的软件安装序列号)；操作手册(中文)；维修手册；</w:t>
      </w:r>
    </w:p>
    <w:p>
      <w:pPr>
        <w:spacing w:line="276" w:lineRule="auto"/>
        <w:ind w:firstLine="432" w:firstLineChars="180"/>
        <w:rPr>
          <w:rFonts w:ascii="宋体" w:hAnsi="宋体"/>
          <w:sz w:val="24"/>
          <w:szCs w:val="24"/>
        </w:rPr>
      </w:pPr>
      <w:r>
        <w:rPr>
          <w:rFonts w:hint="eastAsia" w:ascii="宋体" w:hAnsi="宋体"/>
          <w:sz w:val="24"/>
          <w:szCs w:val="24"/>
        </w:rPr>
        <w:t>5) 相关文件、设备相应的软件和光盘；</w:t>
      </w:r>
    </w:p>
    <w:p>
      <w:pPr>
        <w:spacing w:line="276" w:lineRule="auto"/>
        <w:ind w:firstLine="432" w:firstLineChars="180"/>
        <w:rPr>
          <w:rFonts w:ascii="宋体" w:hAnsi="宋体"/>
          <w:sz w:val="24"/>
          <w:szCs w:val="24"/>
        </w:rPr>
      </w:pPr>
      <w:r>
        <w:rPr>
          <w:rFonts w:hint="eastAsia" w:ascii="宋体" w:hAnsi="宋体"/>
          <w:sz w:val="24"/>
          <w:szCs w:val="24"/>
        </w:rPr>
        <w:t>6) 合同中要求的其它文件资料。</w:t>
      </w:r>
    </w:p>
    <w:p>
      <w:pPr>
        <w:spacing w:line="276" w:lineRule="auto"/>
        <w:ind w:firstLine="434" w:firstLineChars="180"/>
        <w:rPr>
          <w:rFonts w:ascii="宋体" w:hAnsi="宋体"/>
          <w:b/>
          <w:sz w:val="24"/>
          <w:szCs w:val="24"/>
        </w:rPr>
      </w:pPr>
      <w:r>
        <w:rPr>
          <w:rFonts w:hint="eastAsia" w:ascii="宋体" w:hAnsi="宋体"/>
          <w:b/>
          <w:sz w:val="24"/>
          <w:szCs w:val="24"/>
        </w:rPr>
        <w:t>11.5、特殊、专用工具及备品备件</w:t>
      </w:r>
    </w:p>
    <w:p>
      <w:pPr>
        <w:spacing w:line="276" w:lineRule="auto"/>
        <w:ind w:firstLine="432" w:firstLineChars="180"/>
        <w:rPr>
          <w:rFonts w:ascii="宋体" w:hAnsi="宋体"/>
          <w:sz w:val="24"/>
          <w:szCs w:val="24"/>
        </w:rPr>
      </w:pPr>
      <w:r>
        <w:rPr>
          <w:rFonts w:hint="eastAsia" w:ascii="宋体" w:hAnsi="宋体"/>
          <w:sz w:val="24"/>
          <w:szCs w:val="24"/>
        </w:rPr>
        <w:t>中标人应向采购人提供产品安装和维修所需的特殊、专用工具(如果有的话)及清单(清单附在投标文件中)和中文说明书，其费用包括在投标总价内。</w:t>
      </w:r>
    </w:p>
    <w:p>
      <w:pPr>
        <w:spacing w:line="276" w:lineRule="auto"/>
        <w:ind w:firstLine="432" w:firstLineChars="180"/>
        <w:rPr>
          <w:rFonts w:ascii="宋体" w:hAnsi="宋体"/>
          <w:sz w:val="24"/>
          <w:szCs w:val="24"/>
        </w:rPr>
      </w:pPr>
      <w:r>
        <w:rPr>
          <w:rFonts w:hint="eastAsia" w:ascii="宋体" w:hAnsi="宋体"/>
          <w:sz w:val="24"/>
          <w:szCs w:val="24"/>
        </w:rPr>
        <w:t>中标人应向采购人提供保质期内所需的备品备件及清单(清单附在投标文件中)，其费用包括在投标总价内。</w:t>
      </w:r>
    </w:p>
    <w:p>
      <w:pPr>
        <w:spacing w:line="276" w:lineRule="auto"/>
        <w:rPr>
          <w:rStyle w:val="34"/>
          <w:rFonts w:ascii="宋体" w:hAnsi="宋体" w:cs="宋体"/>
          <w:sz w:val="24"/>
          <w:szCs w:val="24"/>
          <w:shd w:val="clear" w:color="auto" w:fill="FFFFFF"/>
        </w:rPr>
      </w:pPr>
      <w:r>
        <w:rPr>
          <w:rStyle w:val="34"/>
          <w:rFonts w:hint="eastAsia" w:ascii="宋体" w:hAnsi="宋体" w:cs="宋体"/>
          <w:sz w:val="24"/>
          <w:szCs w:val="24"/>
          <w:shd w:val="clear" w:color="auto" w:fill="FFFFFF"/>
        </w:rPr>
        <w:t>12、验收条件：</w:t>
      </w:r>
    </w:p>
    <w:p>
      <w:pPr>
        <w:spacing w:line="276" w:lineRule="auto"/>
        <w:ind w:firstLine="511" w:firstLineChars="213"/>
        <w:rPr>
          <w:rFonts w:hint="eastAsia" w:ascii="宋体" w:hAnsi="宋体"/>
          <w:sz w:val="24"/>
          <w:szCs w:val="24"/>
        </w:rPr>
      </w:pPr>
      <w:r>
        <w:rPr>
          <w:rFonts w:hint="eastAsia" w:ascii="宋体" w:hAnsi="宋体"/>
          <w:sz w:val="24"/>
          <w:szCs w:val="24"/>
        </w:rPr>
        <w:t>12.1、验收时中标人代表必须在场，采购人将根据招标文件要求、对中标人所供货物的规格和产品标准及符合我国相关技术规范和技术标准进行验收。</w:t>
      </w:r>
    </w:p>
    <w:p>
      <w:pPr>
        <w:spacing w:line="276" w:lineRule="auto"/>
        <w:ind w:firstLine="511" w:firstLineChars="213"/>
        <w:rPr>
          <w:rFonts w:hint="eastAsia" w:ascii="宋体" w:hAnsi="宋体"/>
          <w:sz w:val="24"/>
          <w:szCs w:val="24"/>
        </w:rPr>
      </w:pPr>
      <w:r>
        <w:rPr>
          <w:rFonts w:hint="eastAsia" w:ascii="宋体" w:hAnsi="宋体"/>
          <w:sz w:val="24"/>
          <w:szCs w:val="24"/>
        </w:rPr>
        <w:t>12.2、结构、外观、制造、装配材料及工艺要求应符合招标采购要求及投标文件承诺，采购人在验收时如发现不符合招标采购要求的，采购人有权要求中标人进行换货或退货。</w:t>
      </w:r>
    </w:p>
    <w:p>
      <w:pPr>
        <w:spacing w:line="276" w:lineRule="auto"/>
        <w:rPr>
          <w:rStyle w:val="34"/>
          <w:rFonts w:hint="eastAsia" w:ascii="宋体" w:hAnsi="宋体" w:cs="宋体"/>
          <w:sz w:val="24"/>
          <w:szCs w:val="24"/>
          <w:shd w:val="clear" w:color="auto" w:fill="FFFFFF"/>
        </w:rPr>
      </w:pPr>
      <w:bookmarkStart w:id="18" w:name="_Toc389747169"/>
      <w:r>
        <w:rPr>
          <w:rStyle w:val="34"/>
          <w:rFonts w:hint="eastAsia" w:ascii="宋体" w:hAnsi="宋体" w:cs="宋体"/>
          <w:sz w:val="24"/>
          <w:szCs w:val="24"/>
          <w:shd w:val="clear" w:color="auto" w:fill="FFFFFF"/>
        </w:rPr>
        <w:t>13、违约责任</w:t>
      </w:r>
      <w:bookmarkEnd w:id="18"/>
    </w:p>
    <w:p>
      <w:pPr>
        <w:spacing w:line="276" w:lineRule="auto"/>
        <w:ind w:firstLine="420"/>
        <w:rPr>
          <w:rFonts w:hint="eastAsia" w:ascii="宋体" w:hAnsi="宋体"/>
          <w:sz w:val="24"/>
          <w:szCs w:val="24"/>
        </w:rPr>
      </w:pPr>
      <w:r>
        <w:rPr>
          <w:rFonts w:hint="eastAsia" w:ascii="宋体" w:hAnsi="宋体"/>
          <w:sz w:val="24"/>
          <w:szCs w:val="24"/>
        </w:rPr>
        <w:t>13.1.因中标人原因造成采购合同无法按时签订的，视为中标人违约，对采购人造成的损失的，中标人还需另行支付相应的赔偿。</w:t>
      </w:r>
    </w:p>
    <w:p>
      <w:pPr>
        <w:spacing w:line="276" w:lineRule="auto"/>
        <w:ind w:firstLine="420"/>
        <w:rPr>
          <w:rFonts w:hint="eastAsia" w:ascii="宋体" w:hAnsi="宋体"/>
          <w:sz w:val="24"/>
          <w:szCs w:val="24"/>
        </w:rPr>
      </w:pPr>
      <w:r>
        <w:rPr>
          <w:rFonts w:hint="eastAsia" w:ascii="宋体" w:hAnsi="宋体"/>
          <w:sz w:val="24"/>
          <w:szCs w:val="24"/>
        </w:rPr>
        <w:t>13.2.在签定采购合同之后，有下列情形之一的，将视为中标人违约，采购人有权从履约保证金中取得补偿(如有提交履约保证金的)，并可进一步提出追索和索赔：</w:t>
      </w:r>
    </w:p>
    <w:p>
      <w:pPr>
        <w:spacing w:line="276" w:lineRule="auto"/>
        <w:ind w:firstLine="420"/>
        <w:rPr>
          <w:rFonts w:hint="eastAsia" w:ascii="宋体" w:hAnsi="宋体"/>
          <w:sz w:val="24"/>
          <w:szCs w:val="24"/>
        </w:rPr>
      </w:pPr>
      <w:r>
        <w:rPr>
          <w:rFonts w:hint="eastAsia" w:ascii="宋体" w:hAnsi="宋体"/>
          <w:sz w:val="24"/>
          <w:szCs w:val="24"/>
        </w:rPr>
        <w:t>13.2.1 签定合同后，中标人未按合同规定供应货物和提供服务的；</w:t>
      </w:r>
    </w:p>
    <w:p>
      <w:pPr>
        <w:spacing w:line="276" w:lineRule="auto"/>
        <w:ind w:firstLine="420"/>
        <w:rPr>
          <w:rFonts w:hint="eastAsia" w:ascii="宋体" w:hAnsi="宋体"/>
          <w:sz w:val="24"/>
          <w:szCs w:val="24"/>
        </w:rPr>
      </w:pPr>
      <w:r>
        <w:rPr>
          <w:rFonts w:hint="eastAsia" w:ascii="宋体" w:hAnsi="宋体"/>
          <w:sz w:val="24"/>
          <w:szCs w:val="24"/>
        </w:rPr>
        <w:t>13.2.2 中标人未按合同规定的质量要求交货的，采购人有权拒收，由此造成的直接损失和间接损失由中标人赔偿；</w:t>
      </w:r>
    </w:p>
    <w:p>
      <w:pPr>
        <w:spacing w:line="276" w:lineRule="auto"/>
        <w:ind w:firstLine="420"/>
        <w:rPr>
          <w:rFonts w:hint="eastAsia" w:ascii="宋体" w:hAnsi="宋体"/>
          <w:sz w:val="24"/>
          <w:szCs w:val="24"/>
        </w:rPr>
      </w:pPr>
      <w:r>
        <w:rPr>
          <w:rFonts w:hint="eastAsia" w:ascii="宋体" w:hAnsi="宋体"/>
          <w:sz w:val="24"/>
          <w:szCs w:val="24"/>
        </w:rPr>
        <w:t>13.2.3中标人逾期交货(包括整修、返工、补交或由需方提出更改、中标人承诺，但未在承诺的工期内完成等)的，每逾期一天，按合同价格的万分之五偿付违约金；</w:t>
      </w:r>
    </w:p>
    <w:p>
      <w:pPr>
        <w:spacing w:line="276" w:lineRule="auto"/>
        <w:ind w:firstLine="420"/>
        <w:rPr>
          <w:rFonts w:hint="eastAsia" w:ascii="宋体" w:hAnsi="宋体"/>
          <w:sz w:val="24"/>
          <w:szCs w:val="24"/>
        </w:rPr>
      </w:pPr>
      <w:r>
        <w:rPr>
          <w:rFonts w:hint="eastAsia" w:ascii="宋体" w:hAnsi="宋体"/>
          <w:sz w:val="24"/>
          <w:szCs w:val="24"/>
        </w:rPr>
        <w:t>13.2.4中标人不能交货或不能完成合同的(不可抗力因素造成的除外)，中标人应双倍返还买方支付的定金；</w:t>
      </w:r>
    </w:p>
    <w:p>
      <w:pPr>
        <w:spacing w:line="276" w:lineRule="auto"/>
        <w:ind w:firstLine="420"/>
        <w:rPr>
          <w:rFonts w:hint="eastAsia" w:ascii="宋体" w:hAnsi="宋体"/>
          <w:sz w:val="24"/>
          <w:szCs w:val="24"/>
        </w:rPr>
      </w:pPr>
      <w:r>
        <w:rPr>
          <w:rFonts w:hint="eastAsia" w:ascii="宋体" w:hAnsi="宋体"/>
          <w:sz w:val="24"/>
          <w:szCs w:val="24"/>
        </w:rPr>
        <w:t>13.2.5中标人未能按合同规定履行其义务的；</w:t>
      </w:r>
    </w:p>
    <w:p>
      <w:pPr>
        <w:spacing w:line="276" w:lineRule="auto"/>
        <w:ind w:firstLine="420"/>
        <w:rPr>
          <w:rFonts w:hint="eastAsia" w:ascii="宋体" w:hAnsi="宋体"/>
          <w:sz w:val="24"/>
          <w:szCs w:val="24"/>
        </w:rPr>
      </w:pPr>
      <w:r>
        <w:rPr>
          <w:rFonts w:hint="eastAsia" w:ascii="宋体" w:hAnsi="宋体"/>
          <w:sz w:val="24"/>
          <w:szCs w:val="24"/>
        </w:rPr>
        <w:t>13.2.6在签定采购合同之后，中标人要求解除合同的；</w:t>
      </w:r>
    </w:p>
    <w:p>
      <w:pPr>
        <w:spacing w:line="276" w:lineRule="auto"/>
        <w:ind w:firstLine="420"/>
        <w:rPr>
          <w:rFonts w:hint="eastAsia" w:ascii="宋体" w:hAnsi="宋体"/>
          <w:sz w:val="24"/>
          <w:szCs w:val="24"/>
        </w:rPr>
      </w:pPr>
      <w:r>
        <w:rPr>
          <w:rFonts w:hint="eastAsia" w:ascii="宋体" w:hAnsi="宋体"/>
          <w:sz w:val="24"/>
          <w:szCs w:val="24"/>
        </w:rPr>
        <w:t>13.3.本合同所有设备、材料的制造、安装及服务，都必须由中标人自己或在投标文件中明确的单位承担，不得以任何名义和理由进行分包或转包。如有发现，视为中标人违约，采购人有权单方终止合同，对采购人造成损失的，需另行支付相应的赔偿。</w:t>
      </w:r>
    </w:p>
    <w:p>
      <w:pPr>
        <w:spacing w:line="276" w:lineRule="auto"/>
        <w:ind w:firstLine="420"/>
        <w:rPr>
          <w:rFonts w:hint="eastAsia" w:ascii="宋体" w:hAnsi="宋体"/>
          <w:sz w:val="24"/>
          <w:szCs w:val="24"/>
        </w:rPr>
      </w:pPr>
      <w:r>
        <w:rPr>
          <w:rFonts w:hint="eastAsia" w:ascii="宋体" w:hAnsi="宋体"/>
          <w:sz w:val="24"/>
          <w:szCs w:val="24"/>
        </w:rPr>
        <w:t>13.4.中标人履行义务不符合合同约定时，采购人有权扣减尾款。</w:t>
      </w:r>
    </w:p>
    <w:p>
      <w:pPr>
        <w:spacing w:line="276" w:lineRule="auto"/>
        <w:ind w:firstLine="420"/>
        <w:rPr>
          <w:rFonts w:hint="eastAsia" w:ascii="宋体" w:hAnsi="宋体"/>
          <w:sz w:val="24"/>
          <w:szCs w:val="24"/>
        </w:rPr>
      </w:pPr>
      <w:r>
        <w:rPr>
          <w:rFonts w:hint="eastAsia" w:ascii="宋体" w:hAnsi="宋体"/>
          <w:sz w:val="24"/>
          <w:szCs w:val="24"/>
        </w:rPr>
        <w:t>13.5.因中标人原因发生重大质量事故，除依约承担赔偿责任外，还将按有关质量管理办法规定执行。同时，采购人有权保留更换中标人的权利，并报相关行政主管部门处罚。</w:t>
      </w:r>
    </w:p>
    <w:p>
      <w:pPr>
        <w:spacing w:line="276" w:lineRule="auto"/>
        <w:ind w:firstLine="420"/>
        <w:rPr>
          <w:rFonts w:hint="eastAsia" w:ascii="宋体" w:hAnsi="宋体"/>
          <w:sz w:val="24"/>
          <w:szCs w:val="24"/>
        </w:rPr>
      </w:pPr>
      <w:r>
        <w:rPr>
          <w:rFonts w:hint="eastAsia" w:ascii="宋体" w:hAnsi="宋体"/>
          <w:sz w:val="24"/>
          <w:szCs w:val="24"/>
        </w:rPr>
        <w:t>13.6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spacing w:line="276" w:lineRule="auto"/>
        <w:ind w:firstLine="420"/>
        <w:rPr>
          <w:rFonts w:hint="eastAsia" w:ascii="宋体" w:hAnsi="宋体"/>
          <w:sz w:val="24"/>
          <w:szCs w:val="24"/>
        </w:rPr>
      </w:pPr>
      <w:r>
        <w:rPr>
          <w:rFonts w:hint="eastAsia" w:ascii="宋体" w:hAnsi="宋体"/>
          <w:sz w:val="24"/>
          <w:szCs w:val="24"/>
        </w:rPr>
        <w:t>13.7.在明确违约责任后，中标人应在接到书面通知书起七天内支付违约金、赔偿金等。</w:t>
      </w:r>
    </w:p>
    <w:p>
      <w:pPr>
        <w:spacing w:line="276" w:lineRule="auto"/>
        <w:ind w:firstLine="420"/>
        <w:rPr>
          <w:rFonts w:hint="eastAsia" w:ascii="宋体" w:hAnsi="宋体"/>
          <w:sz w:val="24"/>
          <w:szCs w:val="24"/>
        </w:rPr>
      </w:pPr>
      <w:r>
        <w:rPr>
          <w:rFonts w:hint="eastAsia" w:ascii="宋体" w:hAnsi="宋体"/>
          <w:sz w:val="24"/>
          <w:szCs w:val="24"/>
        </w:rPr>
        <w:t>13.8.本招标文件未明确的其它约定事项或条款，待采购人与中标人签订合同时，由双方协商订立。</w:t>
      </w:r>
    </w:p>
    <w:p>
      <w:pPr>
        <w:spacing w:line="276" w:lineRule="auto"/>
        <w:rPr>
          <w:rFonts w:ascii="宋体" w:hAnsi="宋体" w:cs="宋体"/>
          <w:b/>
          <w:bCs/>
          <w:kern w:val="0"/>
          <w:sz w:val="24"/>
          <w:szCs w:val="24"/>
        </w:rPr>
      </w:pPr>
      <w:r>
        <w:rPr>
          <w:rStyle w:val="34"/>
          <w:rFonts w:hint="eastAsia" w:ascii="宋体" w:hAnsi="宋体" w:cs="宋体"/>
          <w:sz w:val="24"/>
          <w:szCs w:val="24"/>
        </w:rPr>
        <w:t>14、</w:t>
      </w:r>
      <w:r>
        <w:rPr>
          <w:rFonts w:hint="eastAsia" w:ascii="宋体" w:hAnsi="宋体" w:cs="宋体"/>
          <w:b/>
          <w:bCs/>
          <w:kern w:val="0"/>
          <w:sz w:val="24"/>
          <w:szCs w:val="24"/>
        </w:rPr>
        <w:t>与本批招标项目的相关要求：</w:t>
      </w:r>
    </w:p>
    <w:p>
      <w:pPr>
        <w:spacing w:line="276" w:lineRule="auto"/>
        <w:ind w:firstLine="432" w:firstLineChars="180"/>
        <w:rPr>
          <w:rFonts w:ascii="宋体" w:hAnsi="宋体"/>
          <w:sz w:val="24"/>
          <w:szCs w:val="24"/>
        </w:rPr>
      </w:pPr>
      <w:r>
        <w:rPr>
          <w:rFonts w:hint="eastAsia" w:ascii="宋体" w:hAnsi="宋体"/>
          <w:sz w:val="24"/>
          <w:szCs w:val="24"/>
        </w:rPr>
        <w:t>14.1.投标人提供的产品的制造标准及技术规范等必须符合相应的行业标准及规范要求。</w:t>
      </w:r>
    </w:p>
    <w:p>
      <w:pPr>
        <w:spacing w:line="276" w:lineRule="auto"/>
        <w:ind w:firstLine="432" w:firstLineChars="180"/>
        <w:rPr>
          <w:rFonts w:ascii="宋体" w:hAnsi="宋体"/>
          <w:sz w:val="24"/>
          <w:szCs w:val="24"/>
        </w:rPr>
      </w:pPr>
      <w:r>
        <w:rPr>
          <w:rFonts w:hint="eastAsia" w:ascii="宋体" w:hAnsi="宋体"/>
          <w:sz w:val="24"/>
          <w:szCs w:val="24"/>
        </w:rPr>
        <w:t>14.2.投标人提供的设备及材料等，应保证这些设备及材料等手续的合法性，在交货、安装或验收时中标人应提供所有设备及材料的全部合法证明材料。</w:t>
      </w:r>
    </w:p>
    <w:p>
      <w:pPr>
        <w:spacing w:line="276" w:lineRule="auto"/>
        <w:ind w:firstLine="432" w:firstLineChars="180"/>
        <w:rPr>
          <w:rFonts w:ascii="宋体" w:hAnsi="宋体"/>
          <w:sz w:val="24"/>
          <w:szCs w:val="24"/>
        </w:rPr>
      </w:pPr>
      <w:r>
        <w:rPr>
          <w:rFonts w:hint="eastAsia" w:ascii="宋体" w:hAnsi="宋体"/>
          <w:sz w:val="24"/>
          <w:szCs w:val="24"/>
        </w:rPr>
        <w:t>14.3.本招标文件的技术参数和规格条款如有遗漏的，投标供 应商应根据投标产品的特点予以补充，否则，一旦中标将认为中标供 应商认同遗漏部分并免费提供。</w:t>
      </w:r>
    </w:p>
    <w:p>
      <w:pPr>
        <w:spacing w:line="276" w:lineRule="auto"/>
        <w:ind w:firstLine="480" w:firstLineChars="200"/>
        <w:rPr>
          <w:rStyle w:val="34"/>
          <w:rFonts w:hint="eastAsia" w:ascii="宋体" w:hAnsi="宋体" w:cs="宋体"/>
          <w:sz w:val="24"/>
          <w:szCs w:val="24"/>
        </w:rPr>
      </w:pPr>
      <w:r>
        <w:rPr>
          <w:rFonts w:hint="eastAsia" w:ascii="宋体" w:hAnsi="宋体"/>
          <w:sz w:val="24"/>
          <w:szCs w:val="24"/>
        </w:rPr>
        <w:t>14.4.投标人的报价应包含单价和总价。响应总价应为货物送达采购人指 定地点、经采购人验收合格并交付使用及售 后服务等所有可能发生的费用，包括货物制造、运输、采购保管、备品备件价格、专用工具价格、技术服务费、安装调试费、检验培训费、运输费、保险费、税收运输、集成、培训、验收、检测及等费用。</w:t>
      </w:r>
    </w:p>
    <w:p>
      <w:pPr>
        <w:spacing w:line="276" w:lineRule="auto"/>
        <w:rPr>
          <w:rFonts w:ascii="宋体" w:hAnsi="宋体"/>
          <w:sz w:val="24"/>
          <w:szCs w:val="24"/>
        </w:rPr>
      </w:pPr>
      <w:r>
        <w:rPr>
          <w:rStyle w:val="34"/>
          <w:rFonts w:hint="eastAsia" w:ascii="宋体" w:hAnsi="宋体" w:cs="宋体"/>
          <w:sz w:val="24"/>
          <w:szCs w:val="24"/>
        </w:rPr>
        <w:t>15、知识产权</w:t>
      </w:r>
    </w:p>
    <w:p>
      <w:pPr>
        <w:spacing w:line="276" w:lineRule="auto"/>
        <w:ind w:firstLine="480" w:firstLineChars="200"/>
        <w:rPr>
          <w:rFonts w:hint="eastAsia" w:ascii="宋体" w:hAnsi="宋体" w:cs="宋体"/>
          <w:kern w:val="0"/>
          <w:sz w:val="24"/>
          <w:szCs w:val="24"/>
        </w:rPr>
      </w:pPr>
      <w:r>
        <w:rPr>
          <w:rFonts w:hint="eastAsia" w:ascii="宋体" w:hAnsi="宋体"/>
          <w:sz w:val="24"/>
          <w:szCs w:val="24"/>
        </w:rPr>
        <w:t>投标人须保障采购人在使用该货物或其任何一部分时不受到第三方关于侵犯专 利权、商 标权或工业设 计权等知识产权的指控；获得合同的投标人应保证代 理人和采购人不受到第三方关于侵犯专 利权的指控，任何第三方如果提出指控，获得合同的的投标人应与第三方交涉，承担可能发生的一切法律责任、费用和后果，并赔偿代 理人和采购人的损失。</w:t>
      </w:r>
    </w:p>
    <w:p>
      <w:pPr>
        <w:widowControl/>
        <w:spacing w:before="75" w:after="75" w:line="276" w:lineRule="auto"/>
        <w:jc w:val="left"/>
        <w:rPr>
          <w:rFonts w:ascii="宋体" w:hAnsi="宋体" w:cs="宋体"/>
          <w:kern w:val="0"/>
          <w:sz w:val="24"/>
          <w:szCs w:val="24"/>
        </w:rPr>
      </w:pPr>
      <w:r>
        <w:rPr>
          <w:rFonts w:ascii="宋体" w:hAnsi="宋体" w:cs="宋体"/>
          <w:kern w:val="0"/>
          <w:sz w:val="24"/>
          <w:szCs w:val="24"/>
        </w:rPr>
        <w:t>四、其他事项</w:t>
      </w:r>
    </w:p>
    <w:p>
      <w:pPr>
        <w:widowControl/>
        <w:spacing w:before="75" w:after="75" w:line="276" w:lineRule="auto"/>
        <w:jc w:val="left"/>
        <w:rPr>
          <w:rFonts w:ascii="宋体" w:hAnsi="宋体" w:cs="宋体"/>
          <w:kern w:val="0"/>
          <w:sz w:val="24"/>
          <w:szCs w:val="24"/>
        </w:rPr>
      </w:pPr>
      <w:r>
        <w:rPr>
          <w:rFonts w:ascii="宋体" w:hAnsi="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before="75" w:after="75" w:line="276" w:lineRule="auto"/>
        <w:jc w:val="left"/>
        <w:rPr>
          <w:rFonts w:hint="eastAsia" w:ascii="宋体" w:hAnsi="宋体" w:cs="宋体"/>
          <w:kern w:val="0"/>
          <w:sz w:val="24"/>
          <w:szCs w:val="24"/>
        </w:rPr>
      </w:pPr>
      <w:r>
        <w:rPr>
          <w:rFonts w:ascii="宋体" w:hAnsi="宋体" w:cs="宋体"/>
          <w:kern w:val="0"/>
          <w:sz w:val="24"/>
          <w:szCs w:val="24"/>
        </w:rPr>
        <w:t>2、其他：</w:t>
      </w:r>
    </w:p>
    <w:p>
      <w:pPr>
        <w:spacing w:line="36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bCs/>
          <w:color w:val="000000" w:themeColor="text1"/>
          <w:sz w:val="36"/>
          <w14:textFill>
            <w14:solidFill>
              <w14:schemeClr w14:val="tx1"/>
            </w14:solidFill>
          </w14:textFill>
        </w:rPr>
        <w:t>第四章</w:t>
      </w:r>
      <w:r>
        <w:rPr>
          <w:rFonts w:hint="eastAsia" w:asciiTheme="minorEastAsia" w:hAnsiTheme="minorEastAsia" w:eastAsiaTheme="minorEastAsia" w:cstheme="minorEastAsia"/>
          <w:b/>
          <w:color w:val="000000" w:themeColor="text1"/>
          <w:sz w:val="36"/>
          <w14:textFill>
            <w14:solidFill>
              <w14:schemeClr w14:val="tx1"/>
            </w14:solidFill>
          </w14:textFill>
        </w:rPr>
        <w:t xml:space="preserve">   采购合同(参考文本)</w:t>
      </w: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合同号：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甲方(招标人)：                            签定地点：                   </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乙方(中标人)：                            签定日期：      年   月   日</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见证单位(招标代理机构)：</w:t>
      </w:r>
    </w:p>
    <w:p>
      <w:pPr>
        <w:spacing w:line="30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根据甲方申请并经主管部门核准，甲方委托</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sz w:val="24"/>
          <w14:textFill>
            <w14:solidFill>
              <w14:schemeClr w14:val="tx1"/>
            </w14:solidFill>
          </w14:textFill>
        </w:rPr>
        <w:t>对以下货物进行招标采购(招标编号：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)的招标结果，乙方为中标人，现依照招标文件、投标文件及相关文件的内容，双方达成如下协议：</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合同标的和合同价格</w:t>
      </w:r>
    </w:p>
    <w:tbl>
      <w:tblPr>
        <w:tblStyle w:val="31"/>
        <w:tblW w:w="935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合同包</w:t>
            </w:r>
          </w:p>
        </w:tc>
        <w:tc>
          <w:tcPr>
            <w:tcW w:w="808" w:type="dxa"/>
            <w:tcBorders>
              <w:top w:val="single" w:color="auto" w:sz="18" w:space="0"/>
              <w:left w:val="single" w:color="auto" w:sz="4"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品目号</w:t>
            </w:r>
          </w:p>
        </w:tc>
        <w:tc>
          <w:tcPr>
            <w:tcW w:w="924"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货物名称</w:t>
            </w:r>
          </w:p>
        </w:tc>
        <w:tc>
          <w:tcPr>
            <w:tcW w:w="924"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品牌型号</w:t>
            </w:r>
          </w:p>
        </w:tc>
        <w:tc>
          <w:tcPr>
            <w:tcW w:w="1382" w:type="dxa"/>
            <w:tcBorders>
              <w:top w:val="single" w:color="auto" w:sz="18"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配置和技术参数</w:t>
            </w:r>
          </w:p>
        </w:tc>
        <w:tc>
          <w:tcPr>
            <w:tcW w:w="862" w:type="dxa"/>
            <w:tcBorders>
              <w:top w:val="single" w:color="auto" w:sz="18" w:space="0"/>
              <w:left w:val="single" w:color="auto" w:sz="4" w:space="0"/>
              <w:bottom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生产厂家</w:t>
            </w:r>
          </w:p>
        </w:tc>
        <w:tc>
          <w:tcPr>
            <w:tcW w:w="742" w:type="dxa"/>
            <w:tcBorders>
              <w:top w:val="single" w:color="auto" w:sz="18" w:space="0"/>
              <w:left w:val="single" w:color="auto" w:sz="4"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976"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单价</w:t>
            </w:r>
          </w:p>
        </w:tc>
        <w:tc>
          <w:tcPr>
            <w:tcW w:w="976"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小计</w:t>
            </w:r>
          </w:p>
        </w:tc>
        <w:tc>
          <w:tcPr>
            <w:tcW w:w="948" w:type="dxa"/>
            <w:tcBorders>
              <w:top w:val="single" w:color="auto" w:sz="18" w:space="0"/>
              <w:bottom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top w:val="single" w:color="auto" w:sz="6" w:space="0"/>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top w:val="single" w:color="auto" w:sz="6" w:space="0"/>
              <w:right w:val="single" w:color="auto" w:sz="4" w:space="0"/>
            </w:tcBorders>
            <w:vAlign w:val="center"/>
          </w:tcPr>
          <w:p>
            <w:pPr>
              <w:pStyle w:val="28"/>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62" w:type="dxa"/>
            <w:tcBorders>
              <w:top w:val="single" w:color="auto" w:sz="6" w:space="0"/>
              <w:left w:val="single" w:color="auto" w:sz="4" w:space="0"/>
              <w:right w:val="single" w:color="auto" w:sz="4" w:space="0"/>
            </w:tcBorders>
            <w:vAlign w:val="center"/>
          </w:tcPr>
          <w:p>
            <w:pPr>
              <w:pStyle w:val="28"/>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742" w:type="dxa"/>
            <w:tcBorders>
              <w:top w:val="single" w:color="auto" w:sz="6" w:space="0"/>
              <w:left w:val="single" w:color="auto" w:sz="4" w:space="0"/>
            </w:tcBorders>
            <w:vAlign w:val="center"/>
          </w:tcPr>
          <w:p>
            <w:pPr>
              <w:pStyle w:val="28"/>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76" w:type="dxa"/>
            <w:tcBorders>
              <w:top w:val="single" w:color="auto" w:sz="6" w:space="0"/>
            </w:tcBorders>
            <w:vAlign w:val="center"/>
          </w:tcPr>
          <w:p>
            <w:pPr>
              <w:pStyle w:val="28"/>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76"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tcBorders>
              <w:top w:val="single" w:color="auto" w:sz="6"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62" w:type="dxa"/>
            <w:tcBorders>
              <w:left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42"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08"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24"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82" w:type="dxa"/>
            <w:tcBorders>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62" w:type="dxa"/>
            <w:tcBorders>
              <w:left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42" w:type="dxa"/>
            <w:tcBorders>
              <w:lef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76"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48" w:type="dxa"/>
            <w:vAlign w:val="center"/>
          </w:tcPr>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vAlign w:val="center"/>
          </w:tcPr>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总价：                       圆整(大写)       ￥：          (小写)</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(合同总金额包含备件、安装、调试、检验和运输保险等费用)</w:t>
            </w:r>
          </w:p>
        </w:tc>
      </w:tr>
    </w:tbl>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交货方式、地点和时间</w:t>
      </w:r>
    </w:p>
    <w:p>
      <w:pPr>
        <w:numPr>
          <w:ilvl w:val="0"/>
          <w:numId w:val="10"/>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交货方式：</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0"/>
          <w:numId w:val="10"/>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交货地点：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0"/>
          <w:numId w:val="10"/>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供货清单</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付款方式与条件</w:t>
      </w:r>
    </w:p>
    <w:p>
      <w:pPr>
        <w:numPr>
          <w:ilvl w:val="0"/>
          <w:numId w:val="11"/>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货物交货付款</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全部货物交货并经验收合格后，甲方凭收讫货物的验收凭证和货物验收合格文件等材料以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方式向乙方一次性支付</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的货物价款。(若乙方有支付履约保证金的，可在支付货款时予以扣除。)</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现场交货条件下，乙方要求付款应提交下列单证和文件。</w:t>
      </w:r>
    </w:p>
    <w:p>
      <w:pPr>
        <w:numPr>
          <w:ilvl w:val="1"/>
          <w:numId w:val="12"/>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金额为有关合同货物价格</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的正式发票。</w:t>
      </w:r>
    </w:p>
    <w:p>
      <w:pPr>
        <w:numPr>
          <w:ilvl w:val="1"/>
          <w:numId w:val="12"/>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生产厂家出具的货物质量合格证书。</w:t>
      </w:r>
    </w:p>
    <w:p>
      <w:pPr>
        <w:numPr>
          <w:ilvl w:val="1"/>
          <w:numId w:val="12"/>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甲方已收讫货物的验收凭证。</w:t>
      </w:r>
    </w:p>
    <w:p>
      <w:pPr>
        <w:numPr>
          <w:ilvl w:val="1"/>
          <w:numId w:val="12"/>
        </w:numPr>
        <w:tabs>
          <w:tab w:val="left" w:pos="0"/>
          <w:tab w:val="clear" w:pos="1320"/>
        </w:tabs>
        <w:spacing w:line="300" w:lineRule="auto"/>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甲方签发的验收合格文件。</w:t>
      </w:r>
    </w:p>
    <w:p>
      <w:pPr>
        <w:numPr>
          <w:ilvl w:val="0"/>
          <w:numId w:val="11"/>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分期支付货款的，余下的货款应于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(时间)支付。</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质量要求和技术标准</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质量条款可细分为产品质量、包装质量、技术资料质量等内容。</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(质量要求和技术标准应按招标文件要求填列。)</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安装调试、技术服务、人员培训及技术资料</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(安装调试、技术服务、人员培训及技术资料应按招标文件要求填列。)</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验收</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(货物验收标准和方法应按招标文件要求填列。)验收结果经双方确认后，双方代表必须按规定的验收交接单上的项目对照本合同填好验收结果并签名盖章。</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质量保证和售后服务：</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所有货物质保期要求均为货物经最终验收合格后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个月，在质量保证期内设备运行发生故障时，乙方在接到甲方故障通知后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质量保证期后乙方应承担以下售后服务：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知识产权：</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违约责任</w:t>
      </w:r>
    </w:p>
    <w:p>
      <w:pPr>
        <w:numPr>
          <w:ilvl w:val="2"/>
          <w:numId w:val="9"/>
        </w:numPr>
        <w:tabs>
          <w:tab w:val="left" w:pos="0"/>
          <w:tab w:val="clear" w:pos="1260"/>
        </w:tabs>
        <w:spacing w:line="300" w:lineRule="auto"/>
        <w:ind w:left="0"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9"/>
        </w:numPr>
        <w:tabs>
          <w:tab w:val="left" w:pos="0"/>
          <w:tab w:val="clear" w:pos="1260"/>
        </w:tabs>
        <w:spacing w:line="300" w:lineRule="auto"/>
        <w:ind w:left="0" w:firstLine="420" w:firstLineChars="17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当乙方发生违约时，乙方的质量合格证金或甲方未支付的货款可以作为上述违约金的一部份、由甲方直接扣抵。</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违约终止合同</w:t>
      </w:r>
    </w:p>
    <w:p>
      <w:pPr>
        <w:spacing w:line="300" w:lineRule="auto"/>
        <w:ind w:firstLine="523" w:firstLineChars="218"/>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9"/>
        </w:numPr>
        <w:tabs>
          <w:tab w:val="left" w:pos="420"/>
          <w:tab w:val="clear" w:pos="1680"/>
        </w:tabs>
        <w:spacing w:line="300" w:lineRule="auto"/>
        <w:ind w:left="0" w:firstLine="42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如果乙方未能在合同规定的期限内或双方另行确定的延期交货时间内交付合同约定的货物。</w:t>
      </w:r>
    </w:p>
    <w:p>
      <w:pPr>
        <w:numPr>
          <w:ilvl w:val="3"/>
          <w:numId w:val="9"/>
        </w:numPr>
        <w:tabs>
          <w:tab w:val="left" w:pos="420"/>
          <w:tab w:val="clear" w:pos="1680"/>
        </w:tabs>
        <w:spacing w:line="300" w:lineRule="auto"/>
        <w:ind w:left="0" w:firstLine="42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乙方未能履行合同项下的任何其它义务。</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不可抗力</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合同纠纷处理方式：</w:t>
      </w:r>
    </w:p>
    <w:p>
      <w:pPr>
        <w:spacing w:line="30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因本合同或与本合同有关的一切事项发生争议，由双方友好协商解决。协商不成的，任何一方均可选择以下方式解决：</w:t>
      </w:r>
    </w:p>
    <w:p>
      <w:pPr>
        <w:numPr>
          <w:ilvl w:val="0"/>
          <w:numId w:val="13"/>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向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(甲方所在地)</w:t>
      </w:r>
      <w:r>
        <w:rPr>
          <w:rFonts w:hint="eastAsia" w:asciiTheme="minorEastAsia" w:hAnsiTheme="minorEastAsia" w:eastAsiaTheme="minorEastAsia" w:cstheme="minorEastAsia"/>
          <w:color w:val="000000" w:themeColor="text1"/>
          <w:sz w:val="24"/>
          <w14:textFill>
            <w14:solidFill>
              <w14:schemeClr w14:val="tx1"/>
            </w14:solidFill>
          </w14:textFill>
        </w:rPr>
        <w:t>仲裁委员会申请仲裁；</w:t>
      </w:r>
    </w:p>
    <w:p>
      <w:pPr>
        <w:numPr>
          <w:ilvl w:val="0"/>
          <w:numId w:val="13"/>
        </w:num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向有管辖权的人民法院提起诉讼。</w:t>
      </w:r>
    </w:p>
    <w:p>
      <w:pPr>
        <w:numPr>
          <w:ilvl w:val="1"/>
          <w:numId w:val="9"/>
        </w:num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其他约定</w:t>
      </w:r>
    </w:p>
    <w:p>
      <w:pPr>
        <w:numPr>
          <w:ilvl w:val="0"/>
          <w:numId w:val="14"/>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若在交付使用过程中，因乙方的质量或安装工艺等原因而造成甲方人员安全或其他损失的，乙方应承担全部赔偿责任。</w:t>
      </w:r>
    </w:p>
    <w:p>
      <w:pPr>
        <w:numPr>
          <w:ilvl w:val="0"/>
          <w:numId w:val="14"/>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本采购项目的招标文件、中标人的投标文件以及相关的澄清确认函(如果有的话)均为本合同不可分割的一部分，与本合同具有同等法律效力。</w:t>
      </w:r>
    </w:p>
    <w:p>
      <w:pPr>
        <w:numPr>
          <w:ilvl w:val="0"/>
          <w:numId w:val="14"/>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本合同未尽事宜，双方另行补充。</w:t>
      </w:r>
    </w:p>
    <w:p>
      <w:pPr>
        <w:numPr>
          <w:ilvl w:val="0"/>
          <w:numId w:val="14"/>
        </w:numPr>
        <w:tabs>
          <w:tab w:val="left" w:pos="-105"/>
          <w:tab w:val="clear" w:pos="1387"/>
        </w:tabs>
        <w:spacing w:line="300" w:lineRule="auto"/>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本合同一式陆份，经双方授权代表签字并盖章后生效。甲方、乙方各执贰份，送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(招标文件投标人须知前附表第8项所述的招标项目行政监督部门) </w:t>
      </w:r>
      <w:r>
        <w:rPr>
          <w:rFonts w:hint="eastAsia" w:asciiTheme="minorEastAsia" w:hAnsiTheme="minorEastAsia" w:eastAsiaTheme="minorEastAsia" w:cstheme="minorEastAsia"/>
          <w:color w:val="000000" w:themeColor="text1"/>
          <w:sz w:val="24"/>
          <w14:textFill>
            <w14:solidFill>
              <w14:schemeClr w14:val="tx1"/>
            </w14:solidFill>
          </w14:textFill>
        </w:rPr>
        <w:t>备案一份，送招标代理人存档一份，具有同等效力。</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    方：                            乙    方：</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单位地址：                            单位地址：</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商务代表：                            法定代表人：</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委托代理人：                          委托代理人：</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手机/电话：                           手机/电话：</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                            开户银行：</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账    号：                            账    号：</w:t>
      </w:r>
    </w:p>
    <w:p>
      <w:pPr>
        <w:pStyle w:val="6"/>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6"/>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见证单位：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福建莆田兴鑫招标代理有限公司</w:t>
      </w:r>
      <w:r>
        <w:rPr>
          <w:rFonts w:hint="eastAsia" w:asciiTheme="minorEastAsia" w:hAnsiTheme="minorEastAsia" w:eastAsiaTheme="minorEastAsia" w:cstheme="minorEastAsia"/>
          <w:color w:val="000000" w:themeColor="text1"/>
          <w:sz w:val="24"/>
          <w14:textFill>
            <w14:solidFill>
              <w14:schemeClr w14:val="tx1"/>
            </w14:solidFill>
          </w14:textFill>
        </w:rPr>
        <w:t>(盖章)</w:t>
      </w:r>
    </w:p>
    <w:p>
      <w:pPr>
        <w:pStyle w:val="6"/>
        <w:snapToGrid w:val="0"/>
        <w:spacing w:line="300" w:lineRule="auto"/>
        <w:ind w:firstLine="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见证日期：     年     月    日</w:t>
      </w:r>
    </w:p>
    <w:p>
      <w:pPr>
        <w:pStyle w:val="6"/>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t xml:space="preserve"> </w:t>
      </w:r>
    </w:p>
    <w:p>
      <w:pPr>
        <w:pStyle w:val="6"/>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6"/>
        <w:snapToGrid w:val="0"/>
        <w:spacing w:line="360" w:lineRule="auto"/>
        <w:ind w:firstLine="2396" w:firstLineChars="663"/>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6"/>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36"/>
          <w:lang w:val="en-US" w:eastAsia="zh-CN"/>
          <w14:textFill>
            <w14:solidFill>
              <w14:schemeClr w14:val="tx1"/>
            </w14:solidFill>
          </w14:textFill>
        </w:rPr>
      </w:pPr>
    </w:p>
    <w:p>
      <w:pPr>
        <w:pStyle w:val="6"/>
        <w:snapToGrid w:val="0"/>
        <w:spacing w:line="360" w:lineRule="auto"/>
        <w:ind w:firstLine="2396" w:firstLineChars="663"/>
        <w:rPr>
          <w:rFonts w:hint="eastAsia" w:asciiTheme="minorEastAsia" w:hAnsiTheme="minorEastAsia" w:eastAsiaTheme="minorEastAsia" w:cstheme="minorEastAsia"/>
          <w:b/>
          <w:bCs/>
          <w:color w:val="000000" w:themeColor="text1"/>
          <w:sz w:val="36"/>
          <w14:textFill>
            <w14:solidFill>
              <w14:schemeClr w14:val="tx1"/>
            </w14:solidFill>
          </w14:textFill>
        </w:rPr>
      </w:pPr>
      <w:r>
        <w:rPr>
          <w:rFonts w:hint="eastAsia" w:asciiTheme="minorEastAsia" w:hAnsiTheme="minorEastAsia" w:eastAsiaTheme="minorEastAsia" w:cstheme="minorEastAsia"/>
          <w:b/>
          <w:bCs/>
          <w:color w:val="000000" w:themeColor="text1"/>
          <w:sz w:val="36"/>
          <w14:textFill>
            <w14:solidFill>
              <w14:schemeClr w14:val="tx1"/>
            </w14:solidFill>
          </w14:textFill>
        </w:rPr>
        <w:t>五章    投标文件格式</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（一）报价部分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60" w:lineRule="exac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p>
    <w:p>
      <w:pPr>
        <w:spacing w:line="36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spacing w:line="36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报  价  表</w:t>
      </w:r>
      <w:r>
        <w:rPr>
          <w:rFonts w:hint="eastAsia" w:asciiTheme="minorEastAsia" w:hAnsiTheme="minorEastAsia" w:eastAsiaTheme="minorEastAsia" w:cstheme="minorEastAsia"/>
          <w:b/>
          <w:color w:val="000000" w:themeColor="text1"/>
          <w:sz w:val="24"/>
          <w14:textFill>
            <w14:solidFill>
              <w14:schemeClr w14:val="tx1"/>
            </w14:solidFill>
          </w14:textFill>
        </w:rPr>
        <w:t>（格式、可按实际要求自行调整）</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3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合同包</w:t>
            </w: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品目号</w:t>
            </w: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品牌规格</w:t>
            </w: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产地</w:t>
            </w: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数量</w:t>
            </w: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单价</w:t>
            </w: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516"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2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253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134"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50"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565"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873" w:type="dxa"/>
            <w:shd w:val="clear" w:color="auto" w:fill="FFFFFF"/>
            <w:vAlign w:val="center"/>
          </w:tcPr>
          <w:p>
            <w:pPr>
              <w:spacing w:line="240" w:lineRule="atLeast"/>
              <w:jc w:val="cente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vAlign w:val="top"/>
          </w:tcPr>
          <w:p>
            <w:pPr>
              <w:spacing w:line="480" w:lineRule="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合同包(   )报价总价：-------------------元整-(大写)￥：       (小写)</w:t>
            </w:r>
          </w:p>
        </w:tc>
      </w:tr>
    </w:tbl>
    <w:p>
      <w:pPr>
        <w:pStyle w:val="17"/>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备注：技术商务部分文件中出现投标报价的，其投标无效。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470" w:firstLineChars="196"/>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（二）资格及资信证明部分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40" w:lineRule="exact"/>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附件1</w:t>
      </w:r>
    </w:p>
    <w:p>
      <w:pPr>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投 标 书</w:t>
      </w:r>
    </w:p>
    <w:p>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40" w:lineRule="exact"/>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根据贵方为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14:textFill>
            <w14:solidFill>
              <w14:schemeClr w14:val="tx1"/>
            </w14:solidFill>
          </w14:textFill>
        </w:rPr>
        <w:t xml:space="preserve">的投标邀请(招标编号)：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，本签字代表</w:t>
      </w:r>
      <w:r>
        <w:rPr>
          <w:rFonts w:hint="eastAsia" w:asciiTheme="minorEastAsia" w:hAnsiTheme="minorEastAsia" w:eastAsiaTheme="minorEastAsia" w:cstheme="minorEastAsia"/>
          <w:color w:val="000000" w:themeColor="text1"/>
          <w:sz w:val="24"/>
          <w:u w:val="single"/>
          <w14:textFill>
            <w14:solidFill>
              <w14:schemeClr w14:val="tx1"/>
            </w14:solidFill>
          </w14:textFill>
        </w:rPr>
        <w:t>(全名、职务)</w:t>
      </w:r>
      <w:r>
        <w:rPr>
          <w:rFonts w:hint="eastAsia" w:asciiTheme="minorEastAsia" w:hAnsiTheme="minorEastAsia" w:eastAsiaTheme="minorEastAsia" w:cstheme="minorEastAsia"/>
          <w:color w:val="000000" w:themeColor="text1"/>
          <w:sz w:val="24"/>
          <w14:textFill>
            <w14:solidFill>
              <w14:schemeClr w14:val="tx1"/>
            </w14:solidFill>
          </w14:textFill>
        </w:rPr>
        <w:t>被正式授权并代表投标人</w:t>
      </w:r>
      <w:r>
        <w:rPr>
          <w:rFonts w:hint="eastAsia" w:asciiTheme="minorEastAsia" w:hAnsiTheme="minorEastAsia" w:eastAsiaTheme="minorEastAsia" w:cstheme="minorEastAsia"/>
          <w:color w:val="000000" w:themeColor="text1"/>
          <w:sz w:val="24"/>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sz w:val="24"/>
          <w14:textFill>
            <w14:solidFill>
              <w14:schemeClr w14:val="tx1"/>
            </w14:solidFill>
          </w14:textFill>
        </w:rPr>
        <w:t>提交下述文件正本一份和副本四份，电子版一份。</w:t>
      </w:r>
    </w:p>
    <w:p>
      <w:pPr>
        <w:spacing w:line="34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第一部分 报价部分（单独编制装订胶装成册并密封）：</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（1）开标一览表</w:t>
      </w:r>
    </w:p>
    <w:p>
      <w:pPr>
        <w:spacing w:line="340" w:lineRule="exac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24"/>
          <w14:textFill>
            <w14:solidFill>
              <w14:schemeClr w14:val="tx1"/>
            </w14:solidFill>
          </w14:textFill>
        </w:rPr>
        <w:t>资格及资信证明部分</w:t>
      </w:r>
      <w:r>
        <w:rPr>
          <w:rFonts w:hint="eastAsia" w:asciiTheme="minorEastAsia" w:hAnsiTheme="minorEastAsia" w:eastAsiaTheme="minorEastAsia" w:cstheme="minorEastAsia"/>
          <w:b/>
          <w:bCs/>
          <w:color w:val="000000" w:themeColor="text1"/>
          <w:sz w:val="24"/>
          <w14:textFill>
            <w14:solidFill>
              <w14:schemeClr w14:val="tx1"/>
            </w14:solidFill>
          </w14:textFill>
        </w:rPr>
        <w:t>（单独编制装订胶装成册并密封）：</w:t>
      </w:r>
    </w:p>
    <w:p>
      <w:pPr>
        <w:pStyle w:val="28"/>
        <w:widowControl/>
        <w:spacing w:before="100" w:after="100" w:line="34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（1）投标书</w:t>
      </w:r>
    </w:p>
    <w:p>
      <w:pPr>
        <w:pStyle w:val="28"/>
        <w:widowControl/>
        <w:spacing w:before="100" w:after="100" w:line="34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（2）投标人的资格及资信证明文件</w:t>
      </w:r>
    </w:p>
    <w:p>
      <w:pPr>
        <w:pStyle w:val="28"/>
        <w:widowControl/>
        <w:spacing w:before="100" w:after="100" w:line="340" w:lineRule="exact"/>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（3）投标保证金</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第三部分 技术商务部分文件（单独编制装订胶装成册并密封</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 货物说明一览表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（2）供货范围清单 </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（3）技术规格偏离表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（4）商务偏离表</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（5）招标服务费承诺书</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（6）退回保证金说明函</w:t>
      </w:r>
    </w:p>
    <w:p>
      <w:pPr>
        <w:spacing w:line="340" w:lineRule="exac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（7）招标文件和法律法规要求提交的其他文件</w:t>
      </w:r>
    </w:p>
    <w:p>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方式提供的金额为人民币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元的投标保证金。</w:t>
      </w:r>
    </w:p>
    <w:p>
      <w:pPr>
        <w:tabs>
          <w:tab w:val="left" w:pos="1260"/>
        </w:tabs>
        <w:spacing w:line="340" w:lineRule="exact"/>
        <w:ind w:firstLine="588" w:firstLineChars="24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据此函，签字代表宣布同意如下：</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我方愿意积极参与本项目的投标，并保证遵守招标文件的全部规定，投标人所提交的材料中所含的信息均为真实、准确、完整，且不具有任何误导性。</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投标人已详细审查全部招标文件，包括修改文件(如有的话)和有关附件，将自行承担因对全部招标文件理解不正确或误解而产生的相应后果。</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投标人将按招标文件的规定履行合同责任和义务。</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本投标文件自开标日起投标有效期为：投标截止期结束后90个日历日</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如果发生招标文件第二章投标人须知第12条所述情况，则同意招标代理人不予退还投标保证金。</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投标人同意提供按照招标人可能要求的与其投标有关的一切数据或资料，完全理解贵方不一定要接受最低的报价或收到的任何投标。</w:t>
      </w:r>
    </w:p>
    <w:p>
      <w:pPr>
        <w:numPr>
          <w:ilvl w:val="0"/>
          <w:numId w:val="15"/>
        </w:numPr>
        <w:tabs>
          <w:tab w:val="left" w:pos="0"/>
          <w:tab w:val="clear" w:pos="1320"/>
        </w:tabs>
        <w:spacing w:line="340" w:lineRule="exact"/>
        <w:ind w:left="0" w:firstLine="52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与本投标有关的一切正式往来通讯请寄：</w:t>
      </w:r>
    </w:p>
    <w:p>
      <w:pPr>
        <w:spacing w:line="340" w:lineRule="exact"/>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117" w:firstLineChars="4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邮编：</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235" w:firstLineChars="98"/>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40" w:lineRule="exact"/>
        <w:ind w:firstLine="590" w:firstLineChars="246"/>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投标代表(印刷体)：</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52"/>
        <w:adjustRightInd w:val="0"/>
        <w:snapToGrid w:val="0"/>
        <w:spacing w:line="340" w:lineRule="exact"/>
        <w:ind w:left="420" w:leftChars="200" w:firstLine="12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手机：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：20</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w:t>
      </w:r>
    </w:p>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投标人的资格证明文件</w:t>
      </w:r>
    </w:p>
    <w:p>
      <w:pPr>
        <w:pStyle w:val="74"/>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附件2－1</w:t>
      </w:r>
    </w:p>
    <w:p>
      <w:pPr>
        <w:spacing w:line="30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关于资格的声明函</w:t>
      </w:r>
      <w:r>
        <w:rPr>
          <w:rFonts w:hint="eastAsia" w:asciiTheme="minorEastAsia" w:hAnsiTheme="minorEastAsia" w:eastAsiaTheme="minorEastAsia" w:cstheme="minorEastAsia"/>
          <w:color w:val="000000" w:themeColor="text1"/>
          <w:sz w:val="24"/>
          <w14:textFill>
            <w14:solidFill>
              <w14:schemeClr w14:val="tx1"/>
            </w14:solidFill>
          </w14:textFill>
        </w:rPr>
        <w:cr/>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关于贵方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(招标编号)</w:t>
      </w:r>
      <w:r>
        <w:rPr>
          <w:rFonts w:hint="eastAsia" w:asciiTheme="minorEastAsia" w:hAnsiTheme="minorEastAsia" w:eastAsiaTheme="minorEastAsia" w:cstheme="minorEastAsia"/>
          <w:color w:val="000000" w:themeColor="text1"/>
          <w:sz w:val="24"/>
          <w14:textFill>
            <w14:solidFill>
              <w14:schemeClr w14:val="tx1"/>
            </w14:solidFill>
          </w14:textFill>
        </w:rPr>
        <w:t>投标邀请，本签字人愿意参加投标，提供招标文件“招标货物及要求”中规定的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(合同包/品目号)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(货物名称)</w:t>
      </w:r>
      <w:r>
        <w:rPr>
          <w:rFonts w:hint="eastAsia" w:asciiTheme="minorEastAsia" w:hAnsiTheme="minorEastAsia" w:eastAsiaTheme="minorEastAsia" w:cstheme="minorEastAsia"/>
          <w:color w:val="000000" w:themeColor="text1"/>
          <w:sz w:val="24"/>
          <w14:textFill>
            <w14:solidFill>
              <w14:schemeClr w14:val="tx1"/>
            </w14:solidFill>
          </w14:textFill>
        </w:rPr>
        <w:t>，本签字人确认资格文件中的说明以及投标文件中所有提交的文件和材料是真实的、准确的。</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1．本签字人确认资格文件中的说明以及投标文件中所有提交的文件和材料是真实的、准确的。</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2．我方的资格声明正本一份，副本四份，电子版一份，随投标文件一同递交。</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(全称并加盖公章)</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投标代表签名：___________________</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附件2－2</w:t>
      </w:r>
    </w:p>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投标人的资格声明</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1．投标人概况：</w:t>
      </w:r>
      <w:r>
        <w:rPr>
          <w:rFonts w:hint="eastAsia" w:asciiTheme="minorEastAsia" w:hAnsiTheme="minorEastAsia" w:eastAsiaTheme="minorEastAsia" w:cstheme="minorEastAsia"/>
          <w:color w:val="000000" w:themeColor="text1"/>
          <w:sz w:val="24"/>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A．投标人名称：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B．注册地址：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cr/>
      </w:r>
      <w:r>
        <w:rPr>
          <w:rFonts w:hint="eastAsia" w:asciiTheme="minorEastAsia" w:hAnsiTheme="minorEastAsia" w:eastAsiaTheme="minorEastAsia" w:cstheme="minorEastAsia"/>
          <w:color w:val="000000" w:themeColor="text1"/>
          <w:sz w:val="24"/>
          <w14:textFill>
            <w14:solidFill>
              <w14:schemeClr w14:val="tx1"/>
            </w14:solidFill>
          </w14:textFill>
        </w:rPr>
        <w:t xml:space="preserve">        C．成立或注册日期：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D．法定代表人：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(姓名、职务)</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实收资本：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其中 国家资本：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法人资本：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个人资本：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外商资本：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E．最近资产负债表(到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日为止)。</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(1)固定资产合计：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(2)流动资产合计：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(3)长期负债合计：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(4)流动负债合计：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F．最近损失表(到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日为止)。</w:t>
      </w:r>
    </w:p>
    <w:p>
      <w:pPr>
        <w:ind w:firstLine="960" w:firstLineChars="40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(1)本年(期)利润总额累计：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ind w:firstLine="960" w:firstLineChars="4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(2)本年(期)净利润累计：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2．我方在此声明，我方具备并满足下列各项条款的规定。本声明如有虚假或不实之处，我方将失去合格投标人资格且我方的投标保证金将不予退还。</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(1)具有独立承担民事责任的能力；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(2)具有良好的商业信誉和健全的财务会计制度；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(3)具有履行合同所必需的设备和专业技术能力；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(4)有依法缴纳税收和社会保障资金的良好记录；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(5)近三年内，在经营活动中没有重大违法记录；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3．最近三年投标货物在国内主要用户的名称和地址：</w:t>
      </w:r>
    </w:p>
    <w:tbl>
      <w:tblPr>
        <w:tblStyle w:val="3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144"/>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用户名称</w:t>
            </w: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销售货物名称、规格</w:t>
            </w: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交货日期</w:t>
            </w: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14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299"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45"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3"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04" w:type="dxa"/>
            <w:vAlign w:val="top"/>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 法人营业执照、税务登记证见下附件。</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5、招标文件投标人须知前附表第2项要求提供的其他资格证明文件。</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就我方全部所知，兹证明上述声明是真实、正确的，并已提供了全部现有资料和数据，我方同意根据贵方要求出示文件予以证实。</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日</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附件2－3</w:t>
      </w:r>
    </w:p>
    <w:p>
      <w:pPr>
        <w:spacing w:line="300" w:lineRule="auto"/>
        <w:ind w:right="48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法定代表人授权书</w:t>
      </w:r>
    </w:p>
    <w:p>
      <w:pPr>
        <w:pStyle w:val="66"/>
        <w:tabs>
          <w:tab w:val="clear" w:pos="1740"/>
        </w:tabs>
        <w:adjustRightInd/>
        <w:spacing w:before="0" w:line="300" w:lineRule="auto"/>
        <w:ind w:left="0" w:firstLine="0"/>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pStyle w:val="19"/>
        <w:snapToGrid w:val="0"/>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(投标人全称)</w:t>
      </w:r>
      <w:r>
        <w:rPr>
          <w:rFonts w:hint="eastAsia" w:asciiTheme="minorEastAsia" w:hAnsiTheme="minorEastAsia" w:eastAsiaTheme="minorEastAsia" w:cstheme="minorEastAsia"/>
          <w:color w:val="000000" w:themeColor="text1"/>
          <w:sz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授权</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(投标代表姓名)</w:t>
      </w:r>
      <w:r>
        <w:rPr>
          <w:rFonts w:hint="eastAsia" w:asciiTheme="minorEastAsia" w:hAnsiTheme="minorEastAsia" w:eastAsiaTheme="minorEastAsia" w:cstheme="minorEastAsia"/>
          <w:color w:val="000000" w:themeColor="text1"/>
          <w:sz w:val="24"/>
          <w14:textFill>
            <w14:solidFill>
              <w14:schemeClr w14:val="tx1"/>
            </w14:solidFill>
          </w14:textFill>
        </w:rPr>
        <w:t>为投标代表，代表本公司参加贵司组织的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19"/>
        <w:snapToGrid w:val="0"/>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特此授权！本授权书自出具之日起生效。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性别：</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身份证号：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部门：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详细通讯地址：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附：法人身份证及被授权人身份证复印件（正、反面）</w:t>
      </w:r>
    </w:p>
    <w:tbl>
      <w:tblPr>
        <w:tblStyle w:val="31"/>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8"/>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trPr>
        <w:tc>
          <w:tcPr>
            <w:tcW w:w="4738" w:type="dxa"/>
            <w:vAlign w:val="center"/>
          </w:tcPr>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法人身份证复印件粘贴处</w:t>
            </w:r>
          </w:p>
        </w:tc>
        <w:tc>
          <w:tcPr>
            <w:tcW w:w="4738" w:type="dxa"/>
            <w:vAlign w:val="center"/>
          </w:tcPr>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被授权人身份证复印件粘贴处</w:t>
            </w: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附件2－4</w:t>
      </w:r>
    </w:p>
    <w:p>
      <w:pPr>
        <w:spacing w:line="360" w:lineRule="auto"/>
        <w:ind w:right="48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法人营业执照、税务登记证、组织代码证或三证合一</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(签发机关名称)签发的我方法人</w:t>
      </w:r>
      <w:r>
        <w:rPr>
          <w:rFonts w:hint="eastAsia" w:asciiTheme="minorEastAsia" w:hAnsiTheme="minorEastAsia" w:eastAsiaTheme="minorEastAsia" w:cstheme="minorEastAsia"/>
          <w:b/>
          <w:color w:val="000000" w:themeColor="text1"/>
          <w:sz w:val="24"/>
          <w14:textFill>
            <w14:solidFill>
              <w14:schemeClr w14:val="tx1"/>
            </w14:solidFill>
          </w14:textFill>
        </w:rPr>
        <w:t>营业执照</w:t>
      </w:r>
      <w:r>
        <w:rPr>
          <w:rFonts w:hint="eastAsia" w:asciiTheme="minorEastAsia" w:hAnsiTheme="minorEastAsia" w:eastAsiaTheme="minorEastAsia" w:cstheme="minorEastAsia"/>
          <w:color w:val="000000" w:themeColor="text1"/>
          <w:sz w:val="24"/>
          <w14:textFill>
            <w14:solidFill>
              <w14:schemeClr w14:val="tx1"/>
            </w14:solidFill>
          </w14:textFill>
        </w:rPr>
        <w:t>副本复印件，该执照真实有效。</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w:t>
      </w:r>
      <w:r>
        <w:rPr>
          <w:rFonts w:hint="eastAsia" w:asciiTheme="minorEastAsia" w:hAnsiTheme="minorEastAsia" w:eastAsiaTheme="minorEastAsia" w:cstheme="minorEastAsia"/>
          <w:b/>
          <w:color w:val="000000" w:themeColor="text1"/>
          <w:sz w:val="24"/>
          <w14:textFill>
            <w14:solidFill>
              <w14:schemeClr w14:val="tx1"/>
            </w14:solidFill>
          </w14:textFill>
        </w:rPr>
        <w:t>税务登记证</w:t>
      </w:r>
      <w:r>
        <w:rPr>
          <w:rFonts w:hint="eastAsia" w:asciiTheme="minorEastAsia" w:hAnsiTheme="minorEastAsia" w:eastAsiaTheme="minorEastAsia" w:cstheme="minorEastAsia"/>
          <w:color w:val="000000" w:themeColor="text1"/>
          <w:sz w:val="24"/>
          <w14:textFill>
            <w14:solidFill>
              <w14:schemeClr w14:val="tx1"/>
            </w14:solidFill>
          </w14:textFill>
        </w:rPr>
        <w:t>副本复印件，该证件真实有效。</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现附上由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(签发机关名称)签发的我方</w:t>
      </w:r>
      <w:r>
        <w:rPr>
          <w:rFonts w:hint="eastAsia" w:asciiTheme="minorEastAsia" w:hAnsiTheme="minorEastAsia" w:eastAsiaTheme="minorEastAsia" w:cstheme="minorEastAsia"/>
          <w:b/>
          <w:color w:val="000000" w:themeColor="text1"/>
          <w:sz w:val="24"/>
          <w14:textFill>
            <w14:solidFill>
              <w14:schemeClr w14:val="tx1"/>
            </w14:solidFill>
          </w14:textFill>
        </w:rPr>
        <w:t>组织代码证</w:t>
      </w:r>
      <w:r>
        <w:rPr>
          <w:rFonts w:hint="eastAsia" w:asciiTheme="minorEastAsia" w:hAnsiTheme="minorEastAsia" w:eastAsiaTheme="minorEastAsia" w:cstheme="minorEastAsia"/>
          <w:color w:val="000000" w:themeColor="text1"/>
          <w:sz w:val="24"/>
          <w14:textFill>
            <w14:solidFill>
              <w14:schemeClr w14:val="tx1"/>
            </w14:solidFill>
          </w14:textFill>
        </w:rPr>
        <w:t>复印件，该证件真实有效。</w:t>
      </w:r>
    </w:p>
    <w:p>
      <w:pPr>
        <w:pStyle w:val="17"/>
        <w:spacing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(注：法人营业执照、税务登记证、组织代码证或三证合一等相关证明文件提供复印件，需复印包括能说明合格的内容，由企业加盖公章并注明复印件与原件一致。)</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 标 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2880" w:firstLineChars="1200"/>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附件2－5</w:t>
      </w:r>
    </w:p>
    <w:p>
      <w:pPr>
        <w:widowControl/>
        <w:spacing w:line="360" w:lineRule="auto"/>
        <w:ind w:firstLine="482" w:firstLineChars="200"/>
        <w:jc w:val="left"/>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财务状况报告{投标人须提供(上一年度经审计的财务报告(包括资产负债表、利润表、现金流量表)或其基本开户银行出具的资信证明。(提供资信证明的应附投标人开户许可证复印件)、依法缴纳税收和依法缴纳社保资金的证明材料，投标人依法免税或不需要缴纳社保资金的应提供证明。</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附件2－6</w:t>
      </w:r>
    </w:p>
    <w:p>
      <w:pPr>
        <w:widowControl/>
        <w:spacing w:line="360" w:lineRule="auto"/>
        <w:jc w:val="center"/>
        <w:rPr>
          <w:rFonts w:hint="eastAsia" w:asciiTheme="minorEastAsia" w:hAnsiTheme="minorEastAsia" w:eastAsiaTheme="minorEastAsia" w:cs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投标人提供自身无行贿犯罪记录的说明或承诺函</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附件2－7</w:t>
      </w:r>
    </w:p>
    <w:p>
      <w:pPr>
        <w:widowControl/>
        <w:spacing w:before="75" w:after="75" w:line="276" w:lineRule="auto"/>
        <w:jc w:val="center"/>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具备履行合同所必需的设备和专业技术能力的声明函。</w:t>
      </w:r>
    </w:p>
    <w:p>
      <w:pPr>
        <w:spacing w:line="36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附件3</w:t>
      </w:r>
    </w:p>
    <w:p>
      <w:pPr>
        <w:pStyle w:val="28"/>
        <w:widowControl/>
        <w:spacing w:before="100" w:beforeAutospacing="1" w:after="100" w:afterAutospacing="1" w:line="300" w:lineRule="exact"/>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Style w:val="34"/>
          <w:rFonts w:hint="eastAsia" w:asciiTheme="minorEastAsia" w:hAnsiTheme="minorEastAsia" w:eastAsiaTheme="minorEastAsia" w:cstheme="minorEastAsia"/>
          <w:color w:val="000000" w:themeColor="text1"/>
          <w:sz w:val="28"/>
          <w:szCs w:val="28"/>
          <w14:textFill>
            <w14:solidFill>
              <w14:schemeClr w14:val="tx1"/>
            </w14:solidFill>
          </w14:textFill>
        </w:rPr>
        <w:t>投标保证金</w:t>
      </w:r>
    </w:p>
    <w:p>
      <w:pPr>
        <w:pStyle w:val="28"/>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编制说明</w:t>
      </w:r>
    </w:p>
    <w:p>
      <w:pPr>
        <w:pStyle w:val="28"/>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1、在此项下提交的</w:t>
      </w:r>
      <w:r>
        <w:rPr>
          <w:rStyle w:val="34"/>
          <w:rFonts w:hint="eastAsia" w:asciiTheme="minorEastAsia" w:hAnsiTheme="minorEastAsia" w:eastAsiaTheme="minorEastAsia" w:cstheme="minorEastAsia"/>
          <w:color w:val="000000" w:themeColor="text1"/>
          <w14:textFill>
            <w14:solidFill>
              <w14:schemeClr w14:val="tx1"/>
            </w14:solidFill>
          </w14:textFill>
        </w:rPr>
        <w:t>“投标保证金”</w:t>
      </w:r>
      <w:r>
        <w:rPr>
          <w:rFonts w:hint="eastAsia" w:asciiTheme="minorEastAsia" w:hAnsiTheme="minorEastAsia" w:eastAsiaTheme="minorEastAsia" w:cstheme="minorEastAsia"/>
          <w:color w:val="000000" w:themeColor="text1"/>
          <w14:textFill>
            <w14:solidFill>
              <w14:schemeClr w14:val="tx1"/>
            </w14:solidFill>
          </w14:textFill>
        </w:rPr>
        <w:t>材料可使用转账凭证复印件有关原始页面的打印件。</w:t>
      </w:r>
    </w:p>
    <w:p>
      <w:pPr>
        <w:pStyle w:val="28"/>
        <w:widowControl/>
        <w:spacing w:before="100" w:beforeAutospacing="1" w:after="100" w:afterAutospacing="1" w:line="3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2、投标保证金是否已提交的认定按照招标文件第二章规定执行。</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w:t>
      </w:r>
    </w:p>
    <w:p>
      <w:pPr>
        <w:spacing w:line="300" w:lineRule="auto"/>
        <w:jc w:val="center"/>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投 标 文 件</w:t>
      </w:r>
    </w:p>
    <w:p>
      <w:pPr>
        <w:spacing w:line="300" w:lineRule="auto"/>
        <w:jc w:val="center"/>
        <w:rPr>
          <w:rFonts w:hint="eastAsia"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(封面)</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（三）技术商务部分</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项目名称：</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ind w:firstLine="1970" w:firstLineChars="545"/>
        <w:rPr>
          <w:rFonts w:hint="eastAsia" w:asciiTheme="minorEastAsia" w:hAnsiTheme="minorEastAsia" w:eastAsiaTheme="minorEastAsia" w:cstheme="minorEastAsia"/>
          <w:b/>
          <w:color w:val="000000" w:themeColor="text1"/>
          <w:sz w:val="36"/>
          <w:u w:val="single"/>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招标编号：</w:t>
      </w:r>
      <w:r>
        <w:rPr>
          <w:rFonts w:hint="eastAsia" w:asciiTheme="minorEastAsia" w:hAnsiTheme="minorEastAsia" w:eastAsiaTheme="minorEastAsia" w:cstheme="minorEastAsia"/>
          <w:b/>
          <w:color w:val="000000" w:themeColor="text1"/>
          <w:sz w:val="36"/>
          <w:u w:val="single"/>
          <w14:textFill>
            <w14:solidFill>
              <w14:schemeClr w14:val="tx1"/>
            </w14:solidFill>
          </w14:textFill>
        </w:rPr>
        <w:t xml:space="preserve">               </w:t>
      </w: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14:textFill>
            <w14:solidFill>
              <w14:schemeClr w14:val="tx1"/>
            </w14:solidFill>
          </w14:textFill>
        </w:rPr>
        <w:t>(正本/副本)</w:t>
      </w:r>
    </w:p>
    <w:p>
      <w:pPr>
        <w:spacing w:line="300" w:lineRule="auto"/>
        <w:rPr>
          <w:rFonts w:hint="eastAsia" w:asciiTheme="minorEastAsia" w:hAnsiTheme="minorEastAsia" w:eastAsiaTheme="minorEastAsia" w:cstheme="minorEastAsia"/>
          <w:b/>
          <w:color w:val="000000" w:themeColor="text1"/>
          <w:sz w:val="36"/>
          <w14:textFill>
            <w14:solidFill>
              <w14:schemeClr w14:val="tx1"/>
            </w14:solidFill>
          </w14:textFill>
        </w:rPr>
      </w:pPr>
    </w:p>
    <w:p>
      <w:pPr>
        <w:spacing w:line="30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投标人名称 ：</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法定代表人姓名：</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157" w:firstLineChars="49"/>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地址：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邮编：</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315" w:firstLineChars="98"/>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电话：</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传真：</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网址：</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电子邮箱：</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投标代表(印刷体)：</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签字：</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00" w:lineRule="auto"/>
        <w:ind w:firstLine="790" w:firstLineChars="24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手机：</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 ：20</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00" w:lineRule="auto"/>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exact"/>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附件1</w:t>
      </w:r>
    </w:p>
    <w:p>
      <w:pPr>
        <w:snapToGrid w:val="0"/>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货物说明一览表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31"/>
        <w:tblW w:w="935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1266"/>
        <w:gridCol w:w="1333"/>
        <w:gridCol w:w="1021"/>
        <w:gridCol w:w="1887"/>
        <w:gridCol w:w="259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53"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合同包/</w:t>
            </w:r>
          </w:p>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品目号</w:t>
            </w:r>
          </w:p>
        </w:tc>
        <w:tc>
          <w:tcPr>
            <w:tcW w:w="1266"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333"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021"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87"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品牌型号规格</w:t>
            </w:r>
          </w:p>
        </w:tc>
        <w:tc>
          <w:tcPr>
            <w:tcW w:w="2590" w:type="dxa"/>
            <w:tcBorders>
              <w:top w:val="single" w:color="auto" w:sz="18" w:space="0"/>
              <w:bottom w:val="single" w:color="auto" w:sz="6" w:space="0"/>
            </w:tcBorders>
            <w:shd w:val="clear" w:color="auto" w:fill="FFFFFF"/>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50" w:type="dxa"/>
            <w:gridSpan w:val="6"/>
            <w:tcBorders>
              <w:top w:val="single" w:color="auto" w:sz="6" w:space="0"/>
            </w:tcBorders>
            <w:vAlign w:val="center"/>
          </w:tcPr>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详细配置、技术参数与性能说明：</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注：投标人应写明投标所有货物的详细配置、技术参数与性能等。</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(全称并加盖公章)      </w:t>
      </w:r>
    </w:p>
    <w:p>
      <w:pPr>
        <w:spacing w:line="360" w:lineRule="auto"/>
        <w:ind w:firstLine="477" w:firstLineChars="19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投标人代表签名：___________________</w:t>
      </w:r>
    </w:p>
    <w:p>
      <w:pPr>
        <w:spacing w:line="36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ind w:firstLine="477" w:firstLineChars="199"/>
        <w:rPr>
          <w:rFonts w:hint="eastAsia" w:asciiTheme="minorEastAsia" w:hAnsiTheme="minorEastAsia" w:eastAsiaTheme="minorEastAsia" w:cstheme="minorEastAsia"/>
          <w:color w:val="000000" w:themeColor="text1"/>
          <w:sz w:val="24"/>
          <w:u w:val="single"/>
          <w14:textFill>
            <w14:solidFill>
              <w14:schemeClr w14:val="tx1"/>
            </w14:solidFill>
          </w14:textFill>
        </w:rPr>
        <w:sectPr>
          <w:headerReference r:id="rId3" w:type="default"/>
          <w:footerReference r:id="rId4" w:type="default"/>
          <w:pgSz w:w="11907" w:h="16840"/>
          <w:pgMar w:top="1440" w:right="758" w:bottom="1440" w:left="849" w:header="851" w:footer="992" w:gutter="0"/>
          <w:cols w:space="720" w:num="1"/>
          <w:docGrid w:linePitch="312" w:charSpace="0"/>
        </w:sectPr>
      </w:pPr>
    </w:p>
    <w:p>
      <w:pPr>
        <w:pStyle w:val="74"/>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p>
    <w:p>
      <w:pPr>
        <w:pStyle w:val="74"/>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附件2</w:t>
      </w:r>
    </w:p>
    <w:p>
      <w:pPr>
        <w:pStyle w:val="74"/>
        <w:snapToGrid w:val="0"/>
        <w:jc w:val="center"/>
        <w:outlineLvl w:val="9"/>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供货范围清单</w:t>
      </w:r>
    </w:p>
    <w:p>
      <w:pPr>
        <w:pStyle w:val="74"/>
        <w:snapToGrid w:val="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说明：</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本清单应列明组成货物的主要件和关键件的名称、数量、原产地；</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本清单应列明专用工具的名称、数量、原产地（如果有的话）；</w:t>
      </w:r>
    </w:p>
    <w:p>
      <w:pPr>
        <w:spacing w:line="38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本清单应列明备品备件的名称、数量、原产地（如果有的话）。</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b/>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74"/>
        <w:snapToGrid w:val="0"/>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附件3</w:t>
      </w:r>
    </w:p>
    <w:p>
      <w:pPr>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00"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技术规格偏离表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31"/>
        <w:tblW w:w="999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
      <w:tblGrid>
        <w:gridCol w:w="754"/>
        <w:gridCol w:w="1362"/>
        <w:gridCol w:w="1971"/>
        <w:gridCol w:w="1362"/>
        <w:gridCol w:w="2579"/>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trHeight w:val="664" w:hRule="atLeast"/>
          <w:tblHeader/>
        </w:trPr>
        <w:tc>
          <w:tcPr>
            <w:tcW w:w="754"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362"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971"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招标文件要求</w:t>
            </w:r>
          </w:p>
        </w:tc>
        <w:tc>
          <w:tcPr>
            <w:tcW w:w="1362"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投标响应</w:t>
            </w:r>
          </w:p>
        </w:tc>
        <w:tc>
          <w:tcPr>
            <w:tcW w:w="257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正偏离还是负偏离</w:t>
            </w:r>
          </w:p>
        </w:tc>
        <w:tc>
          <w:tcPr>
            <w:tcW w:w="196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偏离详细说明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tcBorders>
              <w:top w:val="single" w:color="auto" w:sz="6" w:space="0"/>
            </w:tcBorders>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w:t>
            </w:r>
          </w:p>
        </w:tc>
        <w:tc>
          <w:tcPr>
            <w:tcW w:w="1362" w:type="dxa"/>
            <w:tcBorders>
              <w:top w:val="single" w:color="auto" w:sz="6" w:space="0"/>
            </w:tcBorders>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2</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3</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4</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5</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6</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7</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8</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9</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10</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11</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12</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pPr>
              <w:numPr>
                <w:ilvl w:val="0"/>
                <w:numId w:val="0"/>
              </w:numPr>
              <w:ind w:leftChars="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13</w:t>
            </w:r>
          </w:p>
        </w:tc>
        <w:tc>
          <w:tcPr>
            <w:tcW w:w="1362"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97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62"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57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96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注：投标人提交的投标文件中与招标文件的技术部分的要求有不同时，应逐条列在偏离表中，否则将认为投标人接受招标文件的要求。</w:t>
      </w: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 (全称并加盖公章)：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sectPr>
          <w:pgSz w:w="11907" w:h="16840"/>
          <w:pgMar w:top="1440" w:right="1247" w:bottom="1440" w:left="777" w:header="851" w:footer="992" w:gutter="0"/>
          <w:cols w:space="720" w:num="1"/>
          <w:docGrid w:linePitch="312" w:charSpace="0"/>
        </w:sect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附件4</w:t>
      </w:r>
    </w:p>
    <w:p>
      <w:pPr>
        <w:spacing w:line="300"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商务偏离表</w:t>
      </w: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31"/>
        <w:tblW w:w="934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
      <w:tblGrid>
        <w:gridCol w:w="704"/>
        <w:gridCol w:w="1273"/>
        <w:gridCol w:w="1841"/>
        <w:gridCol w:w="1273"/>
        <w:gridCol w:w="2409"/>
        <w:gridCol w:w="18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trHeight w:val="700" w:hRule="atLeast"/>
          <w:tblHeader/>
        </w:trPr>
        <w:tc>
          <w:tcPr>
            <w:tcW w:w="704"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273"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货物名称</w:t>
            </w:r>
          </w:p>
        </w:tc>
        <w:tc>
          <w:tcPr>
            <w:tcW w:w="1841"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招标文件要求</w:t>
            </w:r>
          </w:p>
        </w:tc>
        <w:tc>
          <w:tcPr>
            <w:tcW w:w="1273"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投标响应</w:t>
            </w:r>
          </w:p>
        </w:tc>
        <w:tc>
          <w:tcPr>
            <w:tcW w:w="2409"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正偏离还是负偏离</w:t>
            </w:r>
          </w:p>
        </w:tc>
        <w:tc>
          <w:tcPr>
            <w:tcW w:w="1840" w:type="dxa"/>
            <w:tcBorders>
              <w:top w:val="single" w:color="auto" w:sz="18" w:space="0"/>
              <w:bottom w:val="single" w:color="auto" w:sz="6" w:space="0"/>
            </w:tcBorders>
            <w:shd w:val="clear" w:color="auto" w:fill="FFFFFF"/>
            <w:vAlign w:val="center"/>
          </w:tcPr>
          <w:p>
            <w:pPr>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偏离详细说明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tcBorders>
              <w:top w:val="single" w:color="auto" w:sz="6" w:space="0"/>
            </w:tcBorders>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w:t>
            </w:r>
          </w:p>
        </w:tc>
        <w:tc>
          <w:tcPr>
            <w:tcW w:w="1273" w:type="dxa"/>
            <w:tcBorders>
              <w:top w:val="single" w:color="auto" w:sz="6" w:space="0"/>
            </w:tcBorders>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tcBorders>
              <w:top w:val="single" w:color="auto" w:sz="6" w:space="0"/>
            </w:tcBorders>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tcBorders>
              <w:top w:val="single" w:color="auto" w:sz="6" w:space="0"/>
            </w:tcBorders>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2</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3</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4</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5</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6</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7</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8</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9</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10</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11</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90"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12</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435" w:hRule="atLeast"/>
        </w:trPr>
        <w:tc>
          <w:tcPr>
            <w:tcW w:w="704" w:type="dxa"/>
            <w:vAlign w:val="center"/>
          </w:tcPr>
          <w:p>
            <w:pPr>
              <w:numPr>
                <w:ilvl w:val="0"/>
                <w:numId w:val="0"/>
              </w:numPr>
              <w:ind w:leftChars="0"/>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13</w:t>
            </w:r>
          </w:p>
        </w:tc>
        <w:tc>
          <w:tcPr>
            <w:tcW w:w="1273" w:type="dxa"/>
            <w:vAlign w:val="center"/>
          </w:tcPr>
          <w:p>
            <w:pPr>
              <w:rPr>
                <w:rFonts w:hint="eastAsia" w:asciiTheme="minorEastAsia" w:hAnsiTheme="minorEastAsia" w:eastAsiaTheme="minorEastAsia" w:cstheme="minorEastAsia"/>
                <w:color w:val="000000" w:themeColor="text1"/>
                <w:sz w:val="24"/>
                <w:u w:val="single"/>
                <w14:textFill>
                  <w14:solidFill>
                    <w14:schemeClr w14:val="tx1"/>
                  </w14:solidFill>
                </w14:textFill>
              </w:rPr>
            </w:pPr>
          </w:p>
        </w:tc>
        <w:tc>
          <w:tcPr>
            <w:tcW w:w="1841"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73" w:type="dxa"/>
            <w:vAlign w:val="center"/>
          </w:tcPr>
          <w:p>
            <w:pPr>
              <w:autoSpaceDN w:val="0"/>
              <w:textAlignment w:val="top"/>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2409"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840" w:type="dxa"/>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注：投标人提交的投标文件中与招标文件的商务部分的要求有不同时，应逐条列在偏离表中，否则将认为投标人接受招标文件的要求。</w:t>
      </w:r>
    </w:p>
    <w:p>
      <w:pPr>
        <w:spacing w:line="36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 (全称并加盖公章)：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napToGrid w:val="0"/>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w:t>
      </w: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附件5</w:t>
      </w:r>
    </w:p>
    <w:p>
      <w:pPr>
        <w:spacing w:line="300" w:lineRule="auto"/>
        <w:ind w:right="48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招标服务费承诺书</w:t>
      </w:r>
    </w:p>
    <w:p>
      <w:pPr>
        <w:spacing w:line="360" w:lineRule="auto"/>
        <w:ind w:right="48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(招标代理人)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我们在贵公司组织的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项目招标中投标(招标编号：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)，如获中标，我们保证按招标文件的规定，以支票、汇票、电汇、现金或经贵公司认可的其他付款方式，向贵公司缴交招标服务费。</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特此承诺！</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投标人(全称并加盖公章)：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3360" w:firstLineChars="14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附件6</w:t>
      </w:r>
    </w:p>
    <w:p>
      <w:pPr>
        <w:spacing w:line="360" w:lineRule="auto"/>
        <w:ind w:right="48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退回保证金说明函</w:t>
      </w:r>
    </w:p>
    <w:p>
      <w:pPr>
        <w:pStyle w:val="20"/>
        <w:tabs>
          <w:tab w:val="left" w:pos="900"/>
        </w:tabs>
        <w:spacing w:line="360" w:lineRule="auto"/>
        <w:ind w:left="86" w:leftChars="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(招标代理人)        </w:t>
      </w:r>
    </w:p>
    <w:p>
      <w:pPr>
        <w:spacing w:line="360" w:lineRule="auto"/>
        <w:ind w:firstLine="477" w:firstLineChars="199"/>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我方参与招标编号为</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的</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(项目名称)</w:t>
      </w:r>
      <w:r>
        <w:rPr>
          <w:rFonts w:hint="eastAsia" w:asciiTheme="minorEastAsia" w:hAnsiTheme="minorEastAsia" w:eastAsiaTheme="minorEastAsia" w:cstheme="minorEastAsia"/>
          <w:bCs/>
          <w:color w:val="000000" w:themeColor="text1"/>
          <w:sz w:val="24"/>
          <w14:textFill>
            <w14:solidFill>
              <w14:schemeClr w14:val="tx1"/>
            </w14:solidFill>
          </w14:textFill>
        </w:rPr>
        <w:t>提供的人民币</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元保证金，当可以退回时，请退回到我公司以下账户：</w:t>
      </w:r>
    </w:p>
    <w:p>
      <w:pPr>
        <w:numPr>
          <w:ilvl w:val="1"/>
          <w:numId w:val="10"/>
        </w:numPr>
        <w:adjustRightInd w:val="0"/>
        <w:spacing w:line="360" w:lineRule="auto"/>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开户名：</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0"/>
        </w:numPr>
        <w:adjustRightInd w:val="0"/>
        <w:spacing w:line="360" w:lineRule="auto"/>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开户行：</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numPr>
          <w:ilvl w:val="1"/>
          <w:numId w:val="10"/>
        </w:numPr>
        <w:adjustRightInd w:val="0"/>
        <w:spacing w:line="360" w:lineRule="auto"/>
        <w:textAlignment w:val="baseline"/>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帐  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附：我方缴纳投标保证金时的银行回单</w:t>
      </w: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0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ind w:firstLine="479" w:firstLineChars="199"/>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(全称并加盖公章)</w:t>
      </w:r>
    </w:p>
    <w:p>
      <w:pPr>
        <w:spacing w:line="360" w:lineRule="auto"/>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投标代表签名：___________________日 期：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附件7</w:t>
      </w:r>
    </w:p>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招标文件和法律法规要求提交的其他文件</w:t>
      </w: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ind w:firstLine="1200" w:firstLineChars="500"/>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投标人认为应提交的其他材料, 可在此附件中提交。</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w:t>
      </w: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14:textFill>
            <w14:solidFill>
              <w14:schemeClr w14:val="tx1"/>
            </w14:solidFill>
          </w14:textFill>
        </w:rPr>
      </w:pP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80" w:lineRule="exact"/>
        <w:ind w:firstLine="3120" w:firstLineChars="1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 标 人（全称并加盖公章）：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投标人代表签字：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38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700" w:lineRule="exact"/>
        <w:ind w:right="42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附件8</w:t>
      </w:r>
    </w:p>
    <w:p>
      <w:pPr>
        <w:spacing w:line="700" w:lineRule="exact"/>
        <w:ind w:right="42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制作投标文件标准装订范本</w:t>
      </w:r>
    </w:p>
    <w:p>
      <w:pPr>
        <w:spacing w:line="360" w:lineRule="auto"/>
        <w:jc w:val="center"/>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drawing>
          <wp:inline distT="0" distB="0" distL="114300" distR="114300">
            <wp:extent cx="4135755" cy="2891790"/>
            <wp:effectExtent l="0" t="0" r="17145" b="3810"/>
            <wp:docPr id="3" name="图片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标书"/>
                    <pic:cNvPicPr>
                      <a:picLocks noChangeAspect="1"/>
                    </pic:cNvPicPr>
                  </pic:nvPicPr>
                  <pic:blipFill>
                    <a:blip r:embed="rId8">
                      <a:lum bright="-11993"/>
                    </a:blip>
                    <a:stretch>
                      <a:fillRect/>
                    </a:stretch>
                  </pic:blipFill>
                  <pic:spPr>
                    <a:xfrm>
                      <a:off x="0" y="0"/>
                      <a:ext cx="4135755" cy="2891790"/>
                    </a:xfrm>
                    <a:prstGeom prst="rect">
                      <a:avLst/>
                    </a:prstGeom>
                    <a:noFill/>
                    <a:ln>
                      <a:noFill/>
                    </a:ln>
                  </pic:spPr>
                </pic:pic>
              </a:graphicData>
            </a:graphic>
          </wp:inline>
        </w:drawing>
      </w:r>
    </w:p>
    <w:p>
      <w:pPr>
        <w:spacing w:line="30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0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00" w:lineRule="auto"/>
        <w:ind w:right="480"/>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p>
    <w:sectPr>
      <w:headerReference r:id="rId5" w:type="default"/>
      <w:footerReference r:id="rId6" w:type="default"/>
      <w:pgSz w:w="11907" w:h="16840"/>
      <w:pgMar w:top="1111" w:right="978" w:bottom="1049" w:left="1269" w:header="471" w:footer="55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-70485</wp:posOffset>
              </wp:positionV>
              <wp:extent cx="532638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15pt;margin-top:-5.55pt;height:0.1pt;width:419.4pt;z-index:251659264;mso-width-relative:page;mso-height-relative:page;" filled="f" stroked="t" coordsize="21600,21600" o:gfxdata="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MlYtgAAAALAQAA&#10;DwAAAAAAAAABACAAAAAiAAAAZHJzL2Rvd25yZXYueG1sUEsBAhQAFAAAAAgAh07iQOKIldjgAQAA&#10;mQMAAA4AAAAAAAAAAQAgAAAAJwEAAGRycy9lMm9Eb2MueG1sUEsFBgAAAAAGAAYAWQEAAHkFAAAA&#10;AA==&#10;">
              <v:fill on="f" focussize="0,0"/>
              <v:stroke color="#000000" joinstyle="round"/>
              <v:imagedata o:title=""/>
              <o:lock v:ext="edit" aspectratio="f"/>
            </v:line>
          </w:pict>
        </mc:Fallback>
      </mc:AlternateContent>
    </w:r>
    <w:r>
      <w:rPr>
        <w:rStyle w:val="35"/>
        <w:rFonts w:hint="eastAsia" w:ascii="宋体" w:hAnsi="宋体"/>
        <w:sz w:val="21"/>
        <w:szCs w:val="21"/>
      </w:rPr>
      <w:t>第</w:t>
    </w:r>
    <w:r>
      <w:rPr>
        <w:rFonts w:hint="eastAsia" w:ascii="宋体" w:hAnsi="宋体"/>
        <w:sz w:val="21"/>
        <w:szCs w:val="21"/>
      </w:rPr>
      <w:fldChar w:fldCharType="begin"/>
    </w:r>
    <w:r>
      <w:rPr>
        <w:rStyle w:val="35"/>
        <w:rFonts w:hint="eastAsia" w:ascii="宋体" w:hAnsi="宋体"/>
        <w:sz w:val="21"/>
        <w:szCs w:val="21"/>
      </w:rPr>
      <w:instrText xml:space="preserve"> PAGE </w:instrText>
    </w:r>
    <w:r>
      <w:rPr>
        <w:rFonts w:hint="eastAsia" w:ascii="宋体" w:hAnsi="宋体"/>
        <w:sz w:val="21"/>
        <w:szCs w:val="21"/>
      </w:rPr>
      <w:fldChar w:fldCharType="separate"/>
    </w:r>
    <w:r>
      <w:rPr>
        <w:rStyle w:val="35"/>
        <w:rFonts w:ascii="宋体" w:hAnsi="宋体"/>
        <w:sz w:val="21"/>
        <w:szCs w:val="21"/>
      </w:rPr>
      <w:t>21</w:t>
    </w:r>
    <w:r>
      <w:rPr>
        <w:rFonts w:hint="eastAsia" w:ascii="宋体" w:hAnsi="宋体"/>
        <w:sz w:val="21"/>
        <w:szCs w:val="21"/>
      </w:rPr>
      <w:fldChar w:fldCharType="end"/>
    </w:r>
    <w:r>
      <w:rPr>
        <w:rStyle w:val="35"/>
        <w:rFonts w:hint="eastAsia" w:ascii="宋体" w:hAnsi="宋体"/>
        <w:sz w:val="21"/>
        <w:szCs w:val="21"/>
      </w:rPr>
      <w:t>页，共</w:t>
    </w:r>
    <w:r>
      <w:rPr>
        <w:rFonts w:hint="eastAsia" w:ascii="宋体" w:hAnsi="宋体"/>
        <w:sz w:val="21"/>
        <w:szCs w:val="21"/>
      </w:rPr>
      <w:fldChar w:fldCharType="begin"/>
    </w:r>
    <w:r>
      <w:rPr>
        <w:rStyle w:val="35"/>
        <w:rFonts w:hint="eastAsia" w:ascii="宋体" w:hAnsi="宋体"/>
        <w:sz w:val="21"/>
        <w:szCs w:val="21"/>
      </w:rPr>
      <w:instrText xml:space="preserve"> NUMPAGES </w:instrText>
    </w:r>
    <w:r>
      <w:rPr>
        <w:rFonts w:hint="eastAsia" w:ascii="宋体" w:hAnsi="宋体"/>
        <w:sz w:val="21"/>
        <w:szCs w:val="21"/>
      </w:rPr>
      <w:fldChar w:fldCharType="separate"/>
    </w:r>
    <w:r>
      <w:rPr>
        <w:rStyle w:val="35"/>
        <w:rFonts w:ascii="宋体" w:hAnsi="宋体"/>
        <w:sz w:val="21"/>
        <w:szCs w:val="21"/>
      </w:rPr>
      <w:t>54</w:t>
    </w:r>
    <w:r>
      <w:rPr>
        <w:rFonts w:hint="eastAsia" w:ascii="宋体" w:hAnsi="宋体"/>
        <w:sz w:val="21"/>
        <w:szCs w:val="21"/>
      </w:rPr>
      <w:fldChar w:fldCharType="end"/>
    </w:r>
    <w:r>
      <w:rPr>
        <w:rStyle w:val="35"/>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楷体_GB2312" w:hAnsi="宋体" w:eastAsia="楷体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posOffset>2660650</wp:posOffset>
              </wp:positionH>
              <wp:positionV relativeFrom="paragraph">
                <wp:posOffset>-101600</wp:posOffset>
              </wp:positionV>
              <wp:extent cx="1170940" cy="266700"/>
              <wp:effectExtent l="3175" t="3175"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70940" cy="266700"/>
                      </a:xfrm>
                      <a:prstGeom prst="rect">
                        <a:avLst/>
                      </a:prstGeom>
                      <a:noFill/>
                      <a:ln>
                        <a:noFill/>
                      </a:ln>
                    </wps:spPr>
                    <wps:txbx>
                      <w:txbxContent>
                        <w:p>
                          <w:pPr>
                            <w:pStyle w:val="23"/>
                            <w:jc w:val="center"/>
                          </w:pPr>
                          <w:r>
                            <w:rPr>
                              <w:rStyle w:val="35"/>
                              <w:rFonts w:hint="eastAsia" w:ascii="楷体_GB2312" w:hAnsi="宋体" w:eastAsia="楷体_GB2312"/>
                              <w:sz w:val="21"/>
                              <w:szCs w:val="21"/>
                            </w:rPr>
                            <w:t>第</w:t>
                          </w:r>
                          <w:r>
                            <w:rPr>
                              <w:rFonts w:hint="eastAsia" w:ascii="楷体_GB2312" w:hAnsi="宋体" w:eastAsia="楷体_GB2312"/>
                              <w:sz w:val="21"/>
                              <w:szCs w:val="21"/>
                            </w:rPr>
                            <w:fldChar w:fldCharType="begin"/>
                          </w:r>
                          <w:r>
                            <w:rPr>
                              <w:rStyle w:val="35"/>
                              <w:rFonts w:hint="eastAsia" w:ascii="楷体_GB2312" w:hAnsi="宋体" w:eastAsia="楷体_GB2312"/>
                              <w:sz w:val="21"/>
                              <w:szCs w:val="21"/>
                            </w:rPr>
                            <w:instrText xml:space="preserve"> PAGE </w:instrText>
                          </w:r>
                          <w:r>
                            <w:rPr>
                              <w:rFonts w:hint="eastAsia" w:ascii="楷体_GB2312" w:hAnsi="宋体" w:eastAsia="楷体_GB2312"/>
                              <w:sz w:val="21"/>
                              <w:szCs w:val="21"/>
                            </w:rPr>
                            <w:fldChar w:fldCharType="separate"/>
                          </w:r>
                          <w:r>
                            <w:rPr>
                              <w:rStyle w:val="35"/>
                              <w:rFonts w:ascii="楷体_GB2312" w:hAnsi="宋体" w:eastAsia="楷体_GB2312"/>
                              <w:sz w:val="21"/>
                              <w:szCs w:val="21"/>
                            </w:rPr>
                            <w:t>36</w:t>
                          </w:r>
                          <w:r>
                            <w:rPr>
                              <w:rFonts w:hint="eastAsia" w:ascii="楷体_GB2312" w:hAnsi="宋体" w:eastAsia="楷体_GB2312"/>
                              <w:sz w:val="21"/>
                              <w:szCs w:val="21"/>
                            </w:rPr>
                            <w:fldChar w:fldCharType="end"/>
                          </w:r>
                          <w:r>
                            <w:rPr>
                              <w:rStyle w:val="35"/>
                              <w:rFonts w:hint="eastAsia" w:ascii="楷体_GB2312" w:hAnsi="宋体" w:eastAsia="楷体_GB2312"/>
                              <w:sz w:val="21"/>
                              <w:szCs w:val="21"/>
                            </w:rPr>
                            <w:t>页，共</w:t>
                          </w:r>
                          <w:r>
                            <w:rPr>
                              <w:rFonts w:hint="eastAsia" w:ascii="楷体_GB2312" w:hAnsi="宋体" w:eastAsia="楷体_GB2312"/>
                              <w:sz w:val="21"/>
                              <w:szCs w:val="21"/>
                            </w:rPr>
                            <w:fldChar w:fldCharType="begin"/>
                          </w:r>
                          <w:r>
                            <w:rPr>
                              <w:rStyle w:val="35"/>
                              <w:rFonts w:hint="eastAsia" w:ascii="楷体_GB2312" w:hAnsi="宋体" w:eastAsia="楷体_GB2312"/>
                              <w:sz w:val="21"/>
                              <w:szCs w:val="21"/>
                            </w:rPr>
                            <w:instrText xml:space="preserve"> NUMPAGES </w:instrText>
                          </w:r>
                          <w:r>
                            <w:rPr>
                              <w:rFonts w:hint="eastAsia" w:ascii="楷体_GB2312" w:hAnsi="宋体" w:eastAsia="楷体_GB2312"/>
                              <w:sz w:val="21"/>
                              <w:szCs w:val="21"/>
                            </w:rPr>
                            <w:fldChar w:fldCharType="separate"/>
                          </w:r>
                          <w:r>
                            <w:rPr>
                              <w:rStyle w:val="35"/>
                              <w:rFonts w:ascii="楷体_GB2312" w:hAnsi="宋体" w:eastAsia="楷体_GB2312"/>
                              <w:sz w:val="21"/>
                              <w:szCs w:val="21"/>
                            </w:rPr>
                            <w:t>55</w:t>
                          </w:r>
                          <w:r>
                            <w:rPr>
                              <w:rFonts w:hint="eastAsia" w:ascii="楷体_GB2312" w:hAnsi="宋体" w:eastAsia="楷体_GB2312"/>
                              <w:sz w:val="21"/>
                              <w:szCs w:val="21"/>
                            </w:rPr>
                            <w:fldChar w:fldCharType="end"/>
                          </w:r>
                          <w:r>
                            <w:rPr>
                              <w:rStyle w:val="35"/>
                              <w:rFonts w:hint="eastAsia" w:ascii="楷体_GB2312" w:hAnsi="宋体" w:eastAsia="楷体_GB2312"/>
                              <w:sz w:val="21"/>
                              <w:szCs w:val="21"/>
                            </w:rPr>
                            <w:t>页</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09.5pt;margin-top:-8pt;height:21pt;width:92.2pt;mso-position-horizontal-relative:margin;z-index:251658240;mso-width-relative:page;mso-height-relative:page;" filled="f" stroked="f" coordsize="21600,21600" o:gfxdata="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1s5rZAAAACgEA&#10;AA8AAAAAAAAAAQAgAAAAIgAAAGRycy9kb3ducmV2LnhtbFBLAQIUABQAAAAIAIdO4kDr6QTD4AEA&#10;ALYDAAAOAAAAAAAAAAEAIAAAACgBAABkcnMvZTJvRG9jLnhtbFBLBQYAAAAABgAGAFkBAAB6BQAA&#10;AAA=&#10;">
              <v:fill on="f" focussize="0,0"/>
              <v:stroke on="f"/>
              <v:imagedata o:title=""/>
              <o:lock v:ext="edit" aspectratio="f"/>
              <v:textbox inset="0mm,0mm,0mm,0mm">
                <w:txbxContent>
                  <w:p>
                    <w:pPr>
                      <w:pStyle w:val="23"/>
                      <w:jc w:val="center"/>
                    </w:pPr>
                    <w:r>
                      <w:rPr>
                        <w:rStyle w:val="35"/>
                        <w:rFonts w:hint="eastAsia" w:ascii="楷体_GB2312" w:hAnsi="宋体" w:eastAsia="楷体_GB2312"/>
                        <w:sz w:val="21"/>
                        <w:szCs w:val="21"/>
                      </w:rPr>
                      <w:t>第</w:t>
                    </w:r>
                    <w:r>
                      <w:rPr>
                        <w:rFonts w:hint="eastAsia" w:ascii="楷体_GB2312" w:hAnsi="宋体" w:eastAsia="楷体_GB2312"/>
                        <w:sz w:val="21"/>
                        <w:szCs w:val="21"/>
                      </w:rPr>
                      <w:fldChar w:fldCharType="begin"/>
                    </w:r>
                    <w:r>
                      <w:rPr>
                        <w:rStyle w:val="35"/>
                        <w:rFonts w:hint="eastAsia" w:ascii="楷体_GB2312" w:hAnsi="宋体" w:eastAsia="楷体_GB2312"/>
                        <w:sz w:val="21"/>
                        <w:szCs w:val="21"/>
                      </w:rPr>
                      <w:instrText xml:space="preserve"> PAGE </w:instrText>
                    </w:r>
                    <w:r>
                      <w:rPr>
                        <w:rFonts w:hint="eastAsia" w:ascii="楷体_GB2312" w:hAnsi="宋体" w:eastAsia="楷体_GB2312"/>
                        <w:sz w:val="21"/>
                        <w:szCs w:val="21"/>
                      </w:rPr>
                      <w:fldChar w:fldCharType="separate"/>
                    </w:r>
                    <w:r>
                      <w:rPr>
                        <w:rStyle w:val="35"/>
                        <w:rFonts w:ascii="楷体_GB2312" w:hAnsi="宋体" w:eastAsia="楷体_GB2312"/>
                        <w:sz w:val="21"/>
                        <w:szCs w:val="21"/>
                      </w:rPr>
                      <w:t>36</w:t>
                    </w:r>
                    <w:r>
                      <w:rPr>
                        <w:rFonts w:hint="eastAsia" w:ascii="楷体_GB2312" w:hAnsi="宋体" w:eastAsia="楷体_GB2312"/>
                        <w:sz w:val="21"/>
                        <w:szCs w:val="21"/>
                      </w:rPr>
                      <w:fldChar w:fldCharType="end"/>
                    </w:r>
                    <w:r>
                      <w:rPr>
                        <w:rStyle w:val="35"/>
                        <w:rFonts w:hint="eastAsia" w:ascii="楷体_GB2312" w:hAnsi="宋体" w:eastAsia="楷体_GB2312"/>
                        <w:sz w:val="21"/>
                        <w:szCs w:val="21"/>
                      </w:rPr>
                      <w:t>页，共</w:t>
                    </w:r>
                    <w:r>
                      <w:rPr>
                        <w:rFonts w:hint="eastAsia" w:ascii="楷体_GB2312" w:hAnsi="宋体" w:eastAsia="楷体_GB2312"/>
                        <w:sz w:val="21"/>
                        <w:szCs w:val="21"/>
                      </w:rPr>
                      <w:fldChar w:fldCharType="begin"/>
                    </w:r>
                    <w:r>
                      <w:rPr>
                        <w:rStyle w:val="35"/>
                        <w:rFonts w:hint="eastAsia" w:ascii="楷体_GB2312" w:hAnsi="宋体" w:eastAsia="楷体_GB2312"/>
                        <w:sz w:val="21"/>
                        <w:szCs w:val="21"/>
                      </w:rPr>
                      <w:instrText xml:space="preserve"> NUMPAGES </w:instrText>
                    </w:r>
                    <w:r>
                      <w:rPr>
                        <w:rFonts w:hint="eastAsia" w:ascii="楷体_GB2312" w:hAnsi="宋体" w:eastAsia="楷体_GB2312"/>
                        <w:sz w:val="21"/>
                        <w:szCs w:val="21"/>
                      </w:rPr>
                      <w:fldChar w:fldCharType="separate"/>
                    </w:r>
                    <w:r>
                      <w:rPr>
                        <w:rStyle w:val="35"/>
                        <w:rFonts w:ascii="楷体_GB2312" w:hAnsi="宋体" w:eastAsia="楷体_GB2312"/>
                        <w:sz w:val="21"/>
                        <w:szCs w:val="21"/>
                      </w:rPr>
                      <w:t>55</w:t>
                    </w:r>
                    <w:r>
                      <w:rPr>
                        <w:rFonts w:hint="eastAsia" w:ascii="楷体_GB2312" w:hAnsi="宋体" w:eastAsia="楷体_GB2312"/>
                        <w:sz w:val="21"/>
                        <w:szCs w:val="21"/>
                      </w:rPr>
                      <w:fldChar w:fldCharType="end"/>
                    </w:r>
                    <w:r>
                      <w:rPr>
                        <w:rStyle w:val="35"/>
                        <w:rFonts w:hint="eastAsia" w:ascii="楷体_GB2312" w:hAnsi="宋体" w:eastAsia="楷体_GB2312"/>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宋体" w:hAnsi="宋体"/>
        <w:sz w:val="21"/>
        <w:szCs w:val="21"/>
      </w:rPr>
    </w:pPr>
    <w:r>
      <w:rPr>
        <w:rFonts w:hint="eastAsia" w:ascii="楷体_GB2312" w:hAnsi="宋体" w:eastAsia="楷体_GB2312"/>
        <w:sz w:val="21"/>
        <w:szCs w:val="21"/>
      </w:rPr>
      <w:t xml:space="preserve">                                          </w:t>
    </w:r>
    <w:r>
      <w:rPr>
        <w:rFonts w:hint="eastAsia" w:ascii="宋体" w:hAnsi="宋体"/>
        <w:sz w:val="21"/>
        <w:szCs w:val="21"/>
      </w:rPr>
      <w:t xml:space="preserve">  </w:t>
    </w:r>
    <w:r>
      <w:rPr>
        <w:rFonts w:hint="eastAsia" w:ascii="宋体" w:hAnsi="宋体"/>
        <w:sz w:val="21"/>
        <w:szCs w:val="21"/>
        <w:lang w:eastAsia="zh-CN"/>
      </w:rPr>
      <w:t>福建莆田兴鑫招标代理有限公司</w:t>
    </w:r>
    <w:r>
      <w:rPr>
        <w:rFonts w:hint="eastAsia" w:ascii="宋体" w:hAnsi="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p>
    <w:pPr>
      <w:pStyle w:val="24"/>
      <w:jc w:val="right"/>
      <w:rPr>
        <w:rFonts w:ascii="楷体_GB2312" w:hAnsi="宋体" w:eastAsia="楷体_GB2312"/>
        <w:sz w:val="21"/>
        <w:szCs w:val="21"/>
      </w:rPr>
    </w:pPr>
    <w:r>
      <w:rPr>
        <w:rFonts w:hint="eastAsia"/>
      </w:rPr>
      <w:t xml:space="preserve">           </w:t>
    </w:r>
    <w:r>
      <w:rPr>
        <w:rFonts w:hint="eastAsia"/>
        <w:lang w:eastAsia="zh-CN"/>
      </w:rPr>
      <w:t>福建莆田兴鑫招标代理有限公司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CF627"/>
    <w:multiLevelType w:val="singleLevel"/>
    <w:tmpl w:val="871CF627"/>
    <w:lvl w:ilvl="0" w:tentative="0">
      <w:start w:val="3"/>
      <w:numFmt w:val="chineseCounting"/>
      <w:suff w:val="space"/>
      <w:lvlText w:val="第%1章"/>
      <w:lvlJc w:val="left"/>
      <w:rPr>
        <w:rFonts w:hint="eastAsia"/>
      </w:rPr>
    </w:lvl>
  </w:abstractNum>
  <w:abstractNum w:abstractNumId="1">
    <w:nsid w:val="DD8972DC"/>
    <w:multiLevelType w:val="singleLevel"/>
    <w:tmpl w:val="DD8972DC"/>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4">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32B8D34"/>
    <w:multiLevelType w:val="singleLevel"/>
    <w:tmpl w:val="232B8D34"/>
    <w:lvl w:ilvl="0" w:tentative="0">
      <w:start w:val="1"/>
      <w:numFmt w:val="decimal"/>
      <w:suff w:val="nothing"/>
      <w:lvlText w:val="%1、"/>
      <w:lvlJc w:val="left"/>
    </w:lvl>
  </w:abstractNum>
  <w:abstractNum w:abstractNumId="10">
    <w:nsid w:val="2526ED44"/>
    <w:multiLevelType w:val="singleLevel"/>
    <w:tmpl w:val="2526ED44"/>
    <w:lvl w:ilvl="0" w:tentative="0">
      <w:start w:val="2"/>
      <w:numFmt w:val="chineseCounting"/>
      <w:suff w:val="nothing"/>
      <w:lvlText w:val="%1、"/>
      <w:lvlJc w:val="left"/>
      <w:rPr>
        <w:rFonts w:hint="eastAsia"/>
      </w:rPr>
    </w:lvl>
  </w:abstractNum>
  <w:abstractNum w:abstractNumId="11">
    <w:nsid w:val="3CA13342"/>
    <w:multiLevelType w:val="multilevel"/>
    <w:tmpl w:val="3CA13342"/>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58FD657B"/>
    <w:multiLevelType w:val="singleLevel"/>
    <w:tmpl w:val="58FD657B"/>
    <w:lvl w:ilvl="0" w:tentative="0">
      <w:start w:val="1"/>
      <w:numFmt w:val="decimal"/>
      <w:lvlText w:val="%1."/>
      <w:lvlJc w:val="left"/>
      <w:pPr>
        <w:ind w:left="425" w:hanging="425"/>
      </w:pPr>
      <w:rPr>
        <w:rFonts w:hint="default"/>
      </w:rPr>
    </w:lvl>
  </w:abstractNum>
  <w:abstractNum w:abstractNumId="13">
    <w:nsid w:val="59376F13"/>
    <w:multiLevelType w:val="singleLevel"/>
    <w:tmpl w:val="59376F13"/>
    <w:lvl w:ilvl="0" w:tentative="0">
      <w:start w:val="3"/>
      <w:numFmt w:val="decimal"/>
      <w:suff w:val="space"/>
      <w:lvlText w:val="%1."/>
      <w:lvlJc w:val="left"/>
    </w:lvl>
  </w:abstractNum>
  <w:abstractNum w:abstractNumId="14">
    <w:nsid w:val="6402781B"/>
    <w:multiLevelType w:val="multilevel"/>
    <w:tmpl w:val="6402781B"/>
    <w:lvl w:ilvl="0" w:tentative="0">
      <w:start w:val="2"/>
      <w:numFmt w:val="japaneseCounting"/>
      <w:lvlText w:val="（%1）"/>
      <w:lvlJc w:val="left"/>
      <w:pPr>
        <w:tabs>
          <w:tab w:val="left" w:pos="720"/>
        </w:tabs>
        <w:ind w:left="720" w:hanging="720"/>
      </w:pPr>
      <w:rPr>
        <w:rFonts w:hint="default"/>
        <w:color w:val="auto"/>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2"/>
  </w:num>
  <w:num w:numId="3">
    <w:abstractNumId w:val="9"/>
  </w:num>
  <w:num w:numId="4">
    <w:abstractNumId w:val="14"/>
  </w:num>
  <w:num w:numId="5">
    <w:abstractNumId w:val="11"/>
  </w:num>
  <w:num w:numId="6">
    <w:abstractNumId w:val="13"/>
  </w:num>
  <w:num w:numId="7">
    <w:abstractNumId w:val="0"/>
  </w:num>
  <w:num w:numId="8">
    <w:abstractNumId w:val="10"/>
  </w:num>
  <w:num w:numId="9">
    <w:abstractNumId w:val="4"/>
  </w:num>
  <w:num w:numId="10">
    <w:abstractNumId w:val="2"/>
  </w:num>
  <w:num w:numId="11">
    <w:abstractNumId w:val="5"/>
  </w:num>
  <w:num w:numId="12">
    <w:abstractNumId w:val="6"/>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0"/>
    <w:rsid w:val="00001183"/>
    <w:rsid w:val="00004792"/>
    <w:rsid w:val="00007047"/>
    <w:rsid w:val="000076E6"/>
    <w:rsid w:val="00010529"/>
    <w:rsid w:val="000105B3"/>
    <w:rsid w:val="000117CF"/>
    <w:rsid w:val="00012A1A"/>
    <w:rsid w:val="000144F7"/>
    <w:rsid w:val="00015FD0"/>
    <w:rsid w:val="0001771E"/>
    <w:rsid w:val="00017DA4"/>
    <w:rsid w:val="0002204D"/>
    <w:rsid w:val="00031853"/>
    <w:rsid w:val="00031ACA"/>
    <w:rsid w:val="00031F2F"/>
    <w:rsid w:val="00032856"/>
    <w:rsid w:val="00034E66"/>
    <w:rsid w:val="000373F2"/>
    <w:rsid w:val="00037C38"/>
    <w:rsid w:val="000402BA"/>
    <w:rsid w:val="00040D3F"/>
    <w:rsid w:val="00041961"/>
    <w:rsid w:val="00043908"/>
    <w:rsid w:val="0004394F"/>
    <w:rsid w:val="00044293"/>
    <w:rsid w:val="0004491D"/>
    <w:rsid w:val="000466C3"/>
    <w:rsid w:val="00050537"/>
    <w:rsid w:val="000519DD"/>
    <w:rsid w:val="000521B6"/>
    <w:rsid w:val="00053644"/>
    <w:rsid w:val="00057193"/>
    <w:rsid w:val="0005753A"/>
    <w:rsid w:val="00064243"/>
    <w:rsid w:val="0006457F"/>
    <w:rsid w:val="00065434"/>
    <w:rsid w:val="00065FC5"/>
    <w:rsid w:val="000662CA"/>
    <w:rsid w:val="00067A39"/>
    <w:rsid w:val="000703E8"/>
    <w:rsid w:val="0007436E"/>
    <w:rsid w:val="00074A67"/>
    <w:rsid w:val="00075A0C"/>
    <w:rsid w:val="0008581D"/>
    <w:rsid w:val="00085D3B"/>
    <w:rsid w:val="000905DF"/>
    <w:rsid w:val="00090EE2"/>
    <w:rsid w:val="0009112F"/>
    <w:rsid w:val="00092472"/>
    <w:rsid w:val="000946BF"/>
    <w:rsid w:val="00095E97"/>
    <w:rsid w:val="000A061D"/>
    <w:rsid w:val="000A1685"/>
    <w:rsid w:val="000A1A79"/>
    <w:rsid w:val="000A2235"/>
    <w:rsid w:val="000A3B12"/>
    <w:rsid w:val="000B4D7F"/>
    <w:rsid w:val="000B7018"/>
    <w:rsid w:val="000C2396"/>
    <w:rsid w:val="000C3DEE"/>
    <w:rsid w:val="000C5B45"/>
    <w:rsid w:val="000C5F75"/>
    <w:rsid w:val="000C66AC"/>
    <w:rsid w:val="000D1AF6"/>
    <w:rsid w:val="000D1E3A"/>
    <w:rsid w:val="000E16D1"/>
    <w:rsid w:val="000E4221"/>
    <w:rsid w:val="000E5572"/>
    <w:rsid w:val="000E5968"/>
    <w:rsid w:val="000E63A1"/>
    <w:rsid w:val="000E6A72"/>
    <w:rsid w:val="000E7131"/>
    <w:rsid w:val="00102BE9"/>
    <w:rsid w:val="00104024"/>
    <w:rsid w:val="00105850"/>
    <w:rsid w:val="001059E5"/>
    <w:rsid w:val="001077D2"/>
    <w:rsid w:val="00110606"/>
    <w:rsid w:val="00113814"/>
    <w:rsid w:val="00116704"/>
    <w:rsid w:val="001177B7"/>
    <w:rsid w:val="00120406"/>
    <w:rsid w:val="00120D7C"/>
    <w:rsid w:val="00121D99"/>
    <w:rsid w:val="0012222F"/>
    <w:rsid w:val="00124C5C"/>
    <w:rsid w:val="0012688D"/>
    <w:rsid w:val="0013048A"/>
    <w:rsid w:val="00132EB5"/>
    <w:rsid w:val="00140711"/>
    <w:rsid w:val="00143103"/>
    <w:rsid w:val="0014354B"/>
    <w:rsid w:val="00144128"/>
    <w:rsid w:val="00150618"/>
    <w:rsid w:val="00153A9D"/>
    <w:rsid w:val="00154915"/>
    <w:rsid w:val="00157DA3"/>
    <w:rsid w:val="00160B44"/>
    <w:rsid w:val="001616A2"/>
    <w:rsid w:val="00163A18"/>
    <w:rsid w:val="00172877"/>
    <w:rsid w:val="00172A27"/>
    <w:rsid w:val="00174182"/>
    <w:rsid w:val="001749AB"/>
    <w:rsid w:val="001763E4"/>
    <w:rsid w:val="00176E19"/>
    <w:rsid w:val="00177161"/>
    <w:rsid w:val="00181ADC"/>
    <w:rsid w:val="00184DE7"/>
    <w:rsid w:val="0019255C"/>
    <w:rsid w:val="00195558"/>
    <w:rsid w:val="0019561B"/>
    <w:rsid w:val="00197262"/>
    <w:rsid w:val="001A095B"/>
    <w:rsid w:val="001A1E67"/>
    <w:rsid w:val="001A461F"/>
    <w:rsid w:val="001A4831"/>
    <w:rsid w:val="001B1CD7"/>
    <w:rsid w:val="001B456A"/>
    <w:rsid w:val="001B5859"/>
    <w:rsid w:val="001B585C"/>
    <w:rsid w:val="001C2BD4"/>
    <w:rsid w:val="001C4837"/>
    <w:rsid w:val="001C5946"/>
    <w:rsid w:val="001C61C9"/>
    <w:rsid w:val="001C7220"/>
    <w:rsid w:val="001C7C6E"/>
    <w:rsid w:val="001D0FA9"/>
    <w:rsid w:val="001D17CA"/>
    <w:rsid w:val="001D20CC"/>
    <w:rsid w:val="001D2243"/>
    <w:rsid w:val="001D64B9"/>
    <w:rsid w:val="001D6723"/>
    <w:rsid w:val="001D6A5F"/>
    <w:rsid w:val="001D77E4"/>
    <w:rsid w:val="001E2A64"/>
    <w:rsid w:val="001E3CF5"/>
    <w:rsid w:val="001E4267"/>
    <w:rsid w:val="001E6221"/>
    <w:rsid w:val="001E7EFF"/>
    <w:rsid w:val="001F1B2C"/>
    <w:rsid w:val="001F2890"/>
    <w:rsid w:val="001F4182"/>
    <w:rsid w:val="001F7877"/>
    <w:rsid w:val="002070D3"/>
    <w:rsid w:val="00210010"/>
    <w:rsid w:val="00210BBF"/>
    <w:rsid w:val="00210F65"/>
    <w:rsid w:val="0021128F"/>
    <w:rsid w:val="0021132F"/>
    <w:rsid w:val="00212E7D"/>
    <w:rsid w:val="00214735"/>
    <w:rsid w:val="002165E8"/>
    <w:rsid w:val="0022098D"/>
    <w:rsid w:val="00221494"/>
    <w:rsid w:val="0022165E"/>
    <w:rsid w:val="0022241A"/>
    <w:rsid w:val="00223013"/>
    <w:rsid w:val="00223691"/>
    <w:rsid w:val="00223B15"/>
    <w:rsid w:val="002254F1"/>
    <w:rsid w:val="002259CD"/>
    <w:rsid w:val="00226EE9"/>
    <w:rsid w:val="00227DD9"/>
    <w:rsid w:val="00232496"/>
    <w:rsid w:val="00232D27"/>
    <w:rsid w:val="00234EB7"/>
    <w:rsid w:val="00234EE5"/>
    <w:rsid w:val="00235AE2"/>
    <w:rsid w:val="00237C49"/>
    <w:rsid w:val="00240E72"/>
    <w:rsid w:val="00241C02"/>
    <w:rsid w:val="00244BFD"/>
    <w:rsid w:val="00244F63"/>
    <w:rsid w:val="00246D71"/>
    <w:rsid w:val="00250F14"/>
    <w:rsid w:val="002515E0"/>
    <w:rsid w:val="0025274D"/>
    <w:rsid w:val="00255BA4"/>
    <w:rsid w:val="002652D6"/>
    <w:rsid w:val="002658DB"/>
    <w:rsid w:val="0027068F"/>
    <w:rsid w:val="00270A11"/>
    <w:rsid w:val="00272652"/>
    <w:rsid w:val="0027430F"/>
    <w:rsid w:val="00276CAF"/>
    <w:rsid w:val="00281DEA"/>
    <w:rsid w:val="002903A9"/>
    <w:rsid w:val="002915F0"/>
    <w:rsid w:val="002968BE"/>
    <w:rsid w:val="00297AAF"/>
    <w:rsid w:val="002A06E4"/>
    <w:rsid w:val="002A1E26"/>
    <w:rsid w:val="002A249C"/>
    <w:rsid w:val="002A34C5"/>
    <w:rsid w:val="002A4D0C"/>
    <w:rsid w:val="002A56DB"/>
    <w:rsid w:val="002A6EB2"/>
    <w:rsid w:val="002A7FA8"/>
    <w:rsid w:val="002B10C2"/>
    <w:rsid w:val="002B1462"/>
    <w:rsid w:val="002B189C"/>
    <w:rsid w:val="002B36AC"/>
    <w:rsid w:val="002B7F4F"/>
    <w:rsid w:val="002C1453"/>
    <w:rsid w:val="002C22FD"/>
    <w:rsid w:val="002D03D6"/>
    <w:rsid w:val="002D0CB6"/>
    <w:rsid w:val="002D15D4"/>
    <w:rsid w:val="002D5495"/>
    <w:rsid w:val="002D5AE1"/>
    <w:rsid w:val="002E0595"/>
    <w:rsid w:val="002E26B9"/>
    <w:rsid w:val="002E2822"/>
    <w:rsid w:val="002E2A47"/>
    <w:rsid w:val="002E31E0"/>
    <w:rsid w:val="002E32EA"/>
    <w:rsid w:val="002E7F78"/>
    <w:rsid w:val="002F019F"/>
    <w:rsid w:val="002F191F"/>
    <w:rsid w:val="002F1B55"/>
    <w:rsid w:val="002F2BB7"/>
    <w:rsid w:val="002F5974"/>
    <w:rsid w:val="00302957"/>
    <w:rsid w:val="00305729"/>
    <w:rsid w:val="00306D13"/>
    <w:rsid w:val="00307304"/>
    <w:rsid w:val="003079C8"/>
    <w:rsid w:val="003118BD"/>
    <w:rsid w:val="00311D6A"/>
    <w:rsid w:val="00312697"/>
    <w:rsid w:val="00314E89"/>
    <w:rsid w:val="00315A27"/>
    <w:rsid w:val="003160FF"/>
    <w:rsid w:val="00320820"/>
    <w:rsid w:val="003209AF"/>
    <w:rsid w:val="003210A8"/>
    <w:rsid w:val="00322646"/>
    <w:rsid w:val="0032746E"/>
    <w:rsid w:val="00330430"/>
    <w:rsid w:val="0033559B"/>
    <w:rsid w:val="00343FC9"/>
    <w:rsid w:val="00346863"/>
    <w:rsid w:val="00350845"/>
    <w:rsid w:val="00353805"/>
    <w:rsid w:val="00357660"/>
    <w:rsid w:val="00360CD9"/>
    <w:rsid w:val="00361E02"/>
    <w:rsid w:val="00362B36"/>
    <w:rsid w:val="00366F24"/>
    <w:rsid w:val="00367E20"/>
    <w:rsid w:val="003702F3"/>
    <w:rsid w:val="00371079"/>
    <w:rsid w:val="0037261A"/>
    <w:rsid w:val="00372CB1"/>
    <w:rsid w:val="00374735"/>
    <w:rsid w:val="00376701"/>
    <w:rsid w:val="00377268"/>
    <w:rsid w:val="003805BD"/>
    <w:rsid w:val="003816FD"/>
    <w:rsid w:val="00385292"/>
    <w:rsid w:val="00387D7C"/>
    <w:rsid w:val="00390012"/>
    <w:rsid w:val="003908B0"/>
    <w:rsid w:val="003912A8"/>
    <w:rsid w:val="00391E17"/>
    <w:rsid w:val="003A1349"/>
    <w:rsid w:val="003A3C4F"/>
    <w:rsid w:val="003B05D0"/>
    <w:rsid w:val="003B14DE"/>
    <w:rsid w:val="003B2615"/>
    <w:rsid w:val="003B2EF2"/>
    <w:rsid w:val="003B444A"/>
    <w:rsid w:val="003B4D50"/>
    <w:rsid w:val="003B76A9"/>
    <w:rsid w:val="003C3DDA"/>
    <w:rsid w:val="003C4DAA"/>
    <w:rsid w:val="003C55AF"/>
    <w:rsid w:val="003C5B63"/>
    <w:rsid w:val="003D3451"/>
    <w:rsid w:val="003D5F85"/>
    <w:rsid w:val="003D7FD2"/>
    <w:rsid w:val="003E247E"/>
    <w:rsid w:val="003E3415"/>
    <w:rsid w:val="003E5F6A"/>
    <w:rsid w:val="003E667D"/>
    <w:rsid w:val="003E6DB5"/>
    <w:rsid w:val="003F16D3"/>
    <w:rsid w:val="003F2177"/>
    <w:rsid w:val="003F4F3C"/>
    <w:rsid w:val="00401C88"/>
    <w:rsid w:val="00403CB8"/>
    <w:rsid w:val="004065F0"/>
    <w:rsid w:val="0040684F"/>
    <w:rsid w:val="00407E8B"/>
    <w:rsid w:val="004103D9"/>
    <w:rsid w:val="00411B30"/>
    <w:rsid w:val="00412AE1"/>
    <w:rsid w:val="0041630B"/>
    <w:rsid w:val="00422B93"/>
    <w:rsid w:val="00425EE5"/>
    <w:rsid w:val="004307AD"/>
    <w:rsid w:val="004343AB"/>
    <w:rsid w:val="00434957"/>
    <w:rsid w:val="004374B6"/>
    <w:rsid w:val="00441800"/>
    <w:rsid w:val="00442912"/>
    <w:rsid w:val="00445132"/>
    <w:rsid w:val="004459CD"/>
    <w:rsid w:val="004471BE"/>
    <w:rsid w:val="004476F1"/>
    <w:rsid w:val="00447CED"/>
    <w:rsid w:val="004513F5"/>
    <w:rsid w:val="004519E6"/>
    <w:rsid w:val="00456BFC"/>
    <w:rsid w:val="004572E7"/>
    <w:rsid w:val="00457420"/>
    <w:rsid w:val="00460E21"/>
    <w:rsid w:val="00464004"/>
    <w:rsid w:val="004673E7"/>
    <w:rsid w:val="00470343"/>
    <w:rsid w:val="004707DB"/>
    <w:rsid w:val="004724F2"/>
    <w:rsid w:val="00475830"/>
    <w:rsid w:val="00480F04"/>
    <w:rsid w:val="00483131"/>
    <w:rsid w:val="00485BD2"/>
    <w:rsid w:val="00487017"/>
    <w:rsid w:val="0049116D"/>
    <w:rsid w:val="004922BA"/>
    <w:rsid w:val="00492C29"/>
    <w:rsid w:val="0049371A"/>
    <w:rsid w:val="00497416"/>
    <w:rsid w:val="004A01B8"/>
    <w:rsid w:val="004A027E"/>
    <w:rsid w:val="004A178C"/>
    <w:rsid w:val="004A180E"/>
    <w:rsid w:val="004A52DE"/>
    <w:rsid w:val="004A749F"/>
    <w:rsid w:val="004B1289"/>
    <w:rsid w:val="004B529C"/>
    <w:rsid w:val="004C26E9"/>
    <w:rsid w:val="004C3E28"/>
    <w:rsid w:val="004C3EC3"/>
    <w:rsid w:val="004C55A7"/>
    <w:rsid w:val="004C6E2C"/>
    <w:rsid w:val="004D01DD"/>
    <w:rsid w:val="004D2C50"/>
    <w:rsid w:val="004D5148"/>
    <w:rsid w:val="004D7A9E"/>
    <w:rsid w:val="004E58C5"/>
    <w:rsid w:val="004F3F4B"/>
    <w:rsid w:val="004F7050"/>
    <w:rsid w:val="004F721B"/>
    <w:rsid w:val="00500F3A"/>
    <w:rsid w:val="00504D12"/>
    <w:rsid w:val="00506F1E"/>
    <w:rsid w:val="0051164E"/>
    <w:rsid w:val="00517ECE"/>
    <w:rsid w:val="0052094D"/>
    <w:rsid w:val="005246E0"/>
    <w:rsid w:val="005250EB"/>
    <w:rsid w:val="00525119"/>
    <w:rsid w:val="005273B8"/>
    <w:rsid w:val="005279A1"/>
    <w:rsid w:val="00531AEA"/>
    <w:rsid w:val="00535E0C"/>
    <w:rsid w:val="00541EFE"/>
    <w:rsid w:val="00543B7C"/>
    <w:rsid w:val="00543C64"/>
    <w:rsid w:val="005505FF"/>
    <w:rsid w:val="005513E1"/>
    <w:rsid w:val="00553751"/>
    <w:rsid w:val="00563265"/>
    <w:rsid w:val="0056342C"/>
    <w:rsid w:val="0056387D"/>
    <w:rsid w:val="005655E1"/>
    <w:rsid w:val="00574284"/>
    <w:rsid w:val="005755EA"/>
    <w:rsid w:val="00575FE0"/>
    <w:rsid w:val="00581996"/>
    <w:rsid w:val="00581B1E"/>
    <w:rsid w:val="00582784"/>
    <w:rsid w:val="00587731"/>
    <w:rsid w:val="0059114A"/>
    <w:rsid w:val="005919DF"/>
    <w:rsid w:val="00593C04"/>
    <w:rsid w:val="00593F50"/>
    <w:rsid w:val="005A17C2"/>
    <w:rsid w:val="005A213B"/>
    <w:rsid w:val="005A28FE"/>
    <w:rsid w:val="005A4908"/>
    <w:rsid w:val="005A5ABD"/>
    <w:rsid w:val="005A61E8"/>
    <w:rsid w:val="005A6ACD"/>
    <w:rsid w:val="005B2C76"/>
    <w:rsid w:val="005B30A1"/>
    <w:rsid w:val="005B7686"/>
    <w:rsid w:val="005B7BFB"/>
    <w:rsid w:val="005C27C2"/>
    <w:rsid w:val="005C2858"/>
    <w:rsid w:val="005C30CE"/>
    <w:rsid w:val="005C3C5A"/>
    <w:rsid w:val="005C6983"/>
    <w:rsid w:val="005D14B8"/>
    <w:rsid w:val="005D1DCE"/>
    <w:rsid w:val="005D30F4"/>
    <w:rsid w:val="005D55E6"/>
    <w:rsid w:val="005D5948"/>
    <w:rsid w:val="005D686B"/>
    <w:rsid w:val="005D697E"/>
    <w:rsid w:val="005E184A"/>
    <w:rsid w:val="005E1ABE"/>
    <w:rsid w:val="005E20D4"/>
    <w:rsid w:val="005E43F3"/>
    <w:rsid w:val="005E4D8D"/>
    <w:rsid w:val="005E7E9C"/>
    <w:rsid w:val="005F1EE6"/>
    <w:rsid w:val="005F2AEF"/>
    <w:rsid w:val="005F3768"/>
    <w:rsid w:val="005F414E"/>
    <w:rsid w:val="005F4C41"/>
    <w:rsid w:val="005F6B4C"/>
    <w:rsid w:val="0060023D"/>
    <w:rsid w:val="006008F8"/>
    <w:rsid w:val="006042F7"/>
    <w:rsid w:val="00604DC8"/>
    <w:rsid w:val="00605B60"/>
    <w:rsid w:val="00606F7A"/>
    <w:rsid w:val="00612ED0"/>
    <w:rsid w:val="00616C3A"/>
    <w:rsid w:val="00625ACC"/>
    <w:rsid w:val="0062669B"/>
    <w:rsid w:val="006266BE"/>
    <w:rsid w:val="00630F63"/>
    <w:rsid w:val="00631305"/>
    <w:rsid w:val="00632514"/>
    <w:rsid w:val="00634E0B"/>
    <w:rsid w:val="006374A3"/>
    <w:rsid w:val="00637DD9"/>
    <w:rsid w:val="00640FD4"/>
    <w:rsid w:val="006411E3"/>
    <w:rsid w:val="00641AE5"/>
    <w:rsid w:val="00642805"/>
    <w:rsid w:val="00643E27"/>
    <w:rsid w:val="006440C8"/>
    <w:rsid w:val="00647011"/>
    <w:rsid w:val="006507A8"/>
    <w:rsid w:val="0065463A"/>
    <w:rsid w:val="006611DE"/>
    <w:rsid w:val="00662315"/>
    <w:rsid w:val="006637FD"/>
    <w:rsid w:val="00671D25"/>
    <w:rsid w:val="00674AEC"/>
    <w:rsid w:val="0067607F"/>
    <w:rsid w:val="00676EB5"/>
    <w:rsid w:val="00677ADD"/>
    <w:rsid w:val="00680CAB"/>
    <w:rsid w:val="00683A33"/>
    <w:rsid w:val="006844B7"/>
    <w:rsid w:val="00684EE0"/>
    <w:rsid w:val="00687CD7"/>
    <w:rsid w:val="00690D7A"/>
    <w:rsid w:val="006936A7"/>
    <w:rsid w:val="00696582"/>
    <w:rsid w:val="006A138E"/>
    <w:rsid w:val="006A6629"/>
    <w:rsid w:val="006B141E"/>
    <w:rsid w:val="006B16ED"/>
    <w:rsid w:val="006B2633"/>
    <w:rsid w:val="006B2AF1"/>
    <w:rsid w:val="006B4275"/>
    <w:rsid w:val="006B4917"/>
    <w:rsid w:val="006B4BFA"/>
    <w:rsid w:val="006C366C"/>
    <w:rsid w:val="006C3DE3"/>
    <w:rsid w:val="006C6FAB"/>
    <w:rsid w:val="006D09F7"/>
    <w:rsid w:val="006D61E8"/>
    <w:rsid w:val="006E3BFB"/>
    <w:rsid w:val="006E4701"/>
    <w:rsid w:val="006E682A"/>
    <w:rsid w:val="006F043C"/>
    <w:rsid w:val="006F0EDD"/>
    <w:rsid w:val="006F10ED"/>
    <w:rsid w:val="006F3180"/>
    <w:rsid w:val="006F35C0"/>
    <w:rsid w:val="006F5016"/>
    <w:rsid w:val="00702C81"/>
    <w:rsid w:val="00703141"/>
    <w:rsid w:val="00703738"/>
    <w:rsid w:val="00704FF5"/>
    <w:rsid w:val="00707ED1"/>
    <w:rsid w:val="00711263"/>
    <w:rsid w:val="007122B9"/>
    <w:rsid w:val="007146BC"/>
    <w:rsid w:val="007169B5"/>
    <w:rsid w:val="00716D26"/>
    <w:rsid w:val="007204FB"/>
    <w:rsid w:val="007211EB"/>
    <w:rsid w:val="0072269E"/>
    <w:rsid w:val="00722ADE"/>
    <w:rsid w:val="00723DCC"/>
    <w:rsid w:val="00724650"/>
    <w:rsid w:val="0072583A"/>
    <w:rsid w:val="00726CD9"/>
    <w:rsid w:val="00727140"/>
    <w:rsid w:val="00727C0E"/>
    <w:rsid w:val="00730177"/>
    <w:rsid w:val="007322BC"/>
    <w:rsid w:val="00732487"/>
    <w:rsid w:val="00735DC0"/>
    <w:rsid w:val="007415F8"/>
    <w:rsid w:val="007425CE"/>
    <w:rsid w:val="00743E2F"/>
    <w:rsid w:val="0074516F"/>
    <w:rsid w:val="00747E8E"/>
    <w:rsid w:val="0075264E"/>
    <w:rsid w:val="00753612"/>
    <w:rsid w:val="00757A4F"/>
    <w:rsid w:val="00761CF0"/>
    <w:rsid w:val="007658F0"/>
    <w:rsid w:val="007669FD"/>
    <w:rsid w:val="007676A6"/>
    <w:rsid w:val="007749F1"/>
    <w:rsid w:val="00776445"/>
    <w:rsid w:val="00780C8B"/>
    <w:rsid w:val="0078351B"/>
    <w:rsid w:val="0078634C"/>
    <w:rsid w:val="00786A8E"/>
    <w:rsid w:val="00793D0B"/>
    <w:rsid w:val="00793DE9"/>
    <w:rsid w:val="00794D5B"/>
    <w:rsid w:val="00797CFF"/>
    <w:rsid w:val="007A300A"/>
    <w:rsid w:val="007A4DDF"/>
    <w:rsid w:val="007A52F2"/>
    <w:rsid w:val="007B29F1"/>
    <w:rsid w:val="007B43B9"/>
    <w:rsid w:val="007B473D"/>
    <w:rsid w:val="007B65F7"/>
    <w:rsid w:val="007B7BBC"/>
    <w:rsid w:val="007C0BBE"/>
    <w:rsid w:val="007C119C"/>
    <w:rsid w:val="007C3505"/>
    <w:rsid w:val="007C458E"/>
    <w:rsid w:val="007D018B"/>
    <w:rsid w:val="007D10C7"/>
    <w:rsid w:val="007D25B8"/>
    <w:rsid w:val="007D433C"/>
    <w:rsid w:val="007D6ECD"/>
    <w:rsid w:val="007D78D1"/>
    <w:rsid w:val="007E02A0"/>
    <w:rsid w:val="007E168C"/>
    <w:rsid w:val="007E1747"/>
    <w:rsid w:val="007E1B85"/>
    <w:rsid w:val="007E2867"/>
    <w:rsid w:val="007E555E"/>
    <w:rsid w:val="007E6476"/>
    <w:rsid w:val="007E6A94"/>
    <w:rsid w:val="007E71B4"/>
    <w:rsid w:val="007E7634"/>
    <w:rsid w:val="007F41E9"/>
    <w:rsid w:val="007F580D"/>
    <w:rsid w:val="00800E49"/>
    <w:rsid w:val="008032BF"/>
    <w:rsid w:val="008055EF"/>
    <w:rsid w:val="00805F72"/>
    <w:rsid w:val="00806384"/>
    <w:rsid w:val="0080731F"/>
    <w:rsid w:val="008107B8"/>
    <w:rsid w:val="00811558"/>
    <w:rsid w:val="0081584C"/>
    <w:rsid w:val="0081792C"/>
    <w:rsid w:val="008228A1"/>
    <w:rsid w:val="008229BB"/>
    <w:rsid w:val="008232F2"/>
    <w:rsid w:val="00823A08"/>
    <w:rsid w:val="00824B33"/>
    <w:rsid w:val="008251BC"/>
    <w:rsid w:val="00826571"/>
    <w:rsid w:val="008278FA"/>
    <w:rsid w:val="00831798"/>
    <w:rsid w:val="00831BB8"/>
    <w:rsid w:val="00833DED"/>
    <w:rsid w:val="008347A0"/>
    <w:rsid w:val="00836161"/>
    <w:rsid w:val="00837093"/>
    <w:rsid w:val="00837E41"/>
    <w:rsid w:val="00844D20"/>
    <w:rsid w:val="00845211"/>
    <w:rsid w:val="00846838"/>
    <w:rsid w:val="00847E04"/>
    <w:rsid w:val="00855909"/>
    <w:rsid w:val="00861CC9"/>
    <w:rsid w:val="00861EDC"/>
    <w:rsid w:val="008626C5"/>
    <w:rsid w:val="0086402F"/>
    <w:rsid w:val="00864932"/>
    <w:rsid w:val="00864BDB"/>
    <w:rsid w:val="00864DCE"/>
    <w:rsid w:val="00865475"/>
    <w:rsid w:val="00865D79"/>
    <w:rsid w:val="00867922"/>
    <w:rsid w:val="00867D8F"/>
    <w:rsid w:val="00872D80"/>
    <w:rsid w:val="0087312A"/>
    <w:rsid w:val="0087759E"/>
    <w:rsid w:val="00877DD5"/>
    <w:rsid w:val="008825FA"/>
    <w:rsid w:val="00882C49"/>
    <w:rsid w:val="0088354C"/>
    <w:rsid w:val="008851C6"/>
    <w:rsid w:val="008856C3"/>
    <w:rsid w:val="00893594"/>
    <w:rsid w:val="0089423A"/>
    <w:rsid w:val="00894ACE"/>
    <w:rsid w:val="00896A1E"/>
    <w:rsid w:val="008A070A"/>
    <w:rsid w:val="008A14A1"/>
    <w:rsid w:val="008A2355"/>
    <w:rsid w:val="008A256D"/>
    <w:rsid w:val="008A31B3"/>
    <w:rsid w:val="008A545C"/>
    <w:rsid w:val="008A5CDD"/>
    <w:rsid w:val="008A7148"/>
    <w:rsid w:val="008B0D93"/>
    <w:rsid w:val="008B1B9E"/>
    <w:rsid w:val="008B3B84"/>
    <w:rsid w:val="008B62B4"/>
    <w:rsid w:val="008B6409"/>
    <w:rsid w:val="008C4669"/>
    <w:rsid w:val="008C720E"/>
    <w:rsid w:val="008C7DEA"/>
    <w:rsid w:val="008D1FC9"/>
    <w:rsid w:val="008D3B47"/>
    <w:rsid w:val="008D4E01"/>
    <w:rsid w:val="008D5256"/>
    <w:rsid w:val="008D5346"/>
    <w:rsid w:val="008D7817"/>
    <w:rsid w:val="008E1792"/>
    <w:rsid w:val="008E3221"/>
    <w:rsid w:val="008E694C"/>
    <w:rsid w:val="008F1DF4"/>
    <w:rsid w:val="008F7B5E"/>
    <w:rsid w:val="0090010F"/>
    <w:rsid w:val="00905CFE"/>
    <w:rsid w:val="0090796E"/>
    <w:rsid w:val="00911DE3"/>
    <w:rsid w:val="009122B4"/>
    <w:rsid w:val="0091341A"/>
    <w:rsid w:val="009137FB"/>
    <w:rsid w:val="009158E6"/>
    <w:rsid w:val="00915E34"/>
    <w:rsid w:val="009162C0"/>
    <w:rsid w:val="009168BD"/>
    <w:rsid w:val="00916943"/>
    <w:rsid w:val="00916A1B"/>
    <w:rsid w:val="00917625"/>
    <w:rsid w:val="00921C6F"/>
    <w:rsid w:val="00923A71"/>
    <w:rsid w:val="00923E2C"/>
    <w:rsid w:val="00924646"/>
    <w:rsid w:val="00931839"/>
    <w:rsid w:val="00935797"/>
    <w:rsid w:val="00936998"/>
    <w:rsid w:val="00941CE1"/>
    <w:rsid w:val="00942A59"/>
    <w:rsid w:val="00942D13"/>
    <w:rsid w:val="00945E01"/>
    <w:rsid w:val="00952802"/>
    <w:rsid w:val="00957146"/>
    <w:rsid w:val="009604D0"/>
    <w:rsid w:val="0096132F"/>
    <w:rsid w:val="00962A51"/>
    <w:rsid w:val="00962F91"/>
    <w:rsid w:val="00965292"/>
    <w:rsid w:val="009664C4"/>
    <w:rsid w:val="00967AAE"/>
    <w:rsid w:val="009709E9"/>
    <w:rsid w:val="00970D07"/>
    <w:rsid w:val="00974D45"/>
    <w:rsid w:val="009750C8"/>
    <w:rsid w:val="009766F6"/>
    <w:rsid w:val="00986BA2"/>
    <w:rsid w:val="0098755F"/>
    <w:rsid w:val="00987D82"/>
    <w:rsid w:val="0099233F"/>
    <w:rsid w:val="00992E17"/>
    <w:rsid w:val="009939C6"/>
    <w:rsid w:val="00995781"/>
    <w:rsid w:val="00995D08"/>
    <w:rsid w:val="00996D16"/>
    <w:rsid w:val="009A0432"/>
    <w:rsid w:val="009A2170"/>
    <w:rsid w:val="009A3368"/>
    <w:rsid w:val="009A3C77"/>
    <w:rsid w:val="009A3E75"/>
    <w:rsid w:val="009A73D4"/>
    <w:rsid w:val="009B1356"/>
    <w:rsid w:val="009B35BA"/>
    <w:rsid w:val="009B4453"/>
    <w:rsid w:val="009B5711"/>
    <w:rsid w:val="009C3B0B"/>
    <w:rsid w:val="009C3E75"/>
    <w:rsid w:val="009D02F1"/>
    <w:rsid w:val="009D260F"/>
    <w:rsid w:val="009D45B1"/>
    <w:rsid w:val="009D4851"/>
    <w:rsid w:val="009D48C6"/>
    <w:rsid w:val="009D57A6"/>
    <w:rsid w:val="009E106F"/>
    <w:rsid w:val="009E449B"/>
    <w:rsid w:val="009E73E5"/>
    <w:rsid w:val="009F0FA7"/>
    <w:rsid w:val="009F17F7"/>
    <w:rsid w:val="009F238A"/>
    <w:rsid w:val="009F2A76"/>
    <w:rsid w:val="009F484D"/>
    <w:rsid w:val="009F6A4C"/>
    <w:rsid w:val="009F7BC1"/>
    <w:rsid w:val="009F7E83"/>
    <w:rsid w:val="00A00DE1"/>
    <w:rsid w:val="00A00EF7"/>
    <w:rsid w:val="00A0403B"/>
    <w:rsid w:val="00A15934"/>
    <w:rsid w:val="00A22B49"/>
    <w:rsid w:val="00A260C5"/>
    <w:rsid w:val="00A2791D"/>
    <w:rsid w:val="00A30A70"/>
    <w:rsid w:val="00A30F0D"/>
    <w:rsid w:val="00A310DA"/>
    <w:rsid w:val="00A31411"/>
    <w:rsid w:val="00A33E4A"/>
    <w:rsid w:val="00A34EC7"/>
    <w:rsid w:val="00A5090B"/>
    <w:rsid w:val="00A50F51"/>
    <w:rsid w:val="00A52A5C"/>
    <w:rsid w:val="00A55915"/>
    <w:rsid w:val="00A56403"/>
    <w:rsid w:val="00A5703D"/>
    <w:rsid w:val="00A602C6"/>
    <w:rsid w:val="00A62156"/>
    <w:rsid w:val="00A67F01"/>
    <w:rsid w:val="00A67F1F"/>
    <w:rsid w:val="00A7166C"/>
    <w:rsid w:val="00A7329C"/>
    <w:rsid w:val="00A739A6"/>
    <w:rsid w:val="00A807F4"/>
    <w:rsid w:val="00A81AF7"/>
    <w:rsid w:val="00A854F5"/>
    <w:rsid w:val="00A85535"/>
    <w:rsid w:val="00A87865"/>
    <w:rsid w:val="00A902BA"/>
    <w:rsid w:val="00A90416"/>
    <w:rsid w:val="00A92B0A"/>
    <w:rsid w:val="00A935A4"/>
    <w:rsid w:val="00A96E3A"/>
    <w:rsid w:val="00A97287"/>
    <w:rsid w:val="00A97C6E"/>
    <w:rsid w:val="00AA156A"/>
    <w:rsid w:val="00AA1AF4"/>
    <w:rsid w:val="00AA3E55"/>
    <w:rsid w:val="00AA78A4"/>
    <w:rsid w:val="00AA7C6D"/>
    <w:rsid w:val="00AB1B13"/>
    <w:rsid w:val="00AB1D15"/>
    <w:rsid w:val="00AB5512"/>
    <w:rsid w:val="00AC238B"/>
    <w:rsid w:val="00AC4CF4"/>
    <w:rsid w:val="00AC51EE"/>
    <w:rsid w:val="00AD1BD1"/>
    <w:rsid w:val="00AD28BC"/>
    <w:rsid w:val="00AD28BD"/>
    <w:rsid w:val="00AD384B"/>
    <w:rsid w:val="00AD39BE"/>
    <w:rsid w:val="00AD4473"/>
    <w:rsid w:val="00AD67EF"/>
    <w:rsid w:val="00AE043C"/>
    <w:rsid w:val="00AE1293"/>
    <w:rsid w:val="00AE4452"/>
    <w:rsid w:val="00AE47CC"/>
    <w:rsid w:val="00AF114F"/>
    <w:rsid w:val="00AF28D5"/>
    <w:rsid w:val="00AF52B7"/>
    <w:rsid w:val="00AF6AEE"/>
    <w:rsid w:val="00AF6AFA"/>
    <w:rsid w:val="00B0490A"/>
    <w:rsid w:val="00B07E71"/>
    <w:rsid w:val="00B10414"/>
    <w:rsid w:val="00B124BA"/>
    <w:rsid w:val="00B14CC5"/>
    <w:rsid w:val="00B16B7E"/>
    <w:rsid w:val="00B20138"/>
    <w:rsid w:val="00B2013D"/>
    <w:rsid w:val="00B201BF"/>
    <w:rsid w:val="00B209DD"/>
    <w:rsid w:val="00B23D70"/>
    <w:rsid w:val="00B2557E"/>
    <w:rsid w:val="00B274C8"/>
    <w:rsid w:val="00B315D0"/>
    <w:rsid w:val="00B361CE"/>
    <w:rsid w:val="00B4076A"/>
    <w:rsid w:val="00B44A3D"/>
    <w:rsid w:val="00B47396"/>
    <w:rsid w:val="00B4762A"/>
    <w:rsid w:val="00B50ABB"/>
    <w:rsid w:val="00B50C4B"/>
    <w:rsid w:val="00B50F35"/>
    <w:rsid w:val="00B52366"/>
    <w:rsid w:val="00B53097"/>
    <w:rsid w:val="00B5436B"/>
    <w:rsid w:val="00B5453F"/>
    <w:rsid w:val="00B55863"/>
    <w:rsid w:val="00B559F7"/>
    <w:rsid w:val="00B60B47"/>
    <w:rsid w:val="00B60DA7"/>
    <w:rsid w:val="00B614E1"/>
    <w:rsid w:val="00B62902"/>
    <w:rsid w:val="00B65203"/>
    <w:rsid w:val="00B6565B"/>
    <w:rsid w:val="00B6597F"/>
    <w:rsid w:val="00B66FD2"/>
    <w:rsid w:val="00B7119A"/>
    <w:rsid w:val="00B71945"/>
    <w:rsid w:val="00B72D39"/>
    <w:rsid w:val="00B74028"/>
    <w:rsid w:val="00B745E6"/>
    <w:rsid w:val="00B75EA2"/>
    <w:rsid w:val="00B805E9"/>
    <w:rsid w:val="00B80D49"/>
    <w:rsid w:val="00B81219"/>
    <w:rsid w:val="00B81514"/>
    <w:rsid w:val="00B815C5"/>
    <w:rsid w:val="00B82693"/>
    <w:rsid w:val="00B909CE"/>
    <w:rsid w:val="00B95874"/>
    <w:rsid w:val="00BA2EF7"/>
    <w:rsid w:val="00BA4F6A"/>
    <w:rsid w:val="00BB0264"/>
    <w:rsid w:val="00BB0B81"/>
    <w:rsid w:val="00BB215D"/>
    <w:rsid w:val="00BB38DB"/>
    <w:rsid w:val="00BB5DC7"/>
    <w:rsid w:val="00BB7F2B"/>
    <w:rsid w:val="00BC2C92"/>
    <w:rsid w:val="00BC3211"/>
    <w:rsid w:val="00BC6181"/>
    <w:rsid w:val="00BC6BBD"/>
    <w:rsid w:val="00BC7BF4"/>
    <w:rsid w:val="00BC7F32"/>
    <w:rsid w:val="00BD0D5E"/>
    <w:rsid w:val="00BD1E71"/>
    <w:rsid w:val="00BD3696"/>
    <w:rsid w:val="00BD4333"/>
    <w:rsid w:val="00BD54A1"/>
    <w:rsid w:val="00BD5797"/>
    <w:rsid w:val="00BE03FD"/>
    <w:rsid w:val="00BE1C01"/>
    <w:rsid w:val="00BE387C"/>
    <w:rsid w:val="00BE4BAE"/>
    <w:rsid w:val="00BE6DA5"/>
    <w:rsid w:val="00BE7C61"/>
    <w:rsid w:val="00BE7CF5"/>
    <w:rsid w:val="00BE7F2F"/>
    <w:rsid w:val="00BF4E0F"/>
    <w:rsid w:val="00BF654A"/>
    <w:rsid w:val="00BF7032"/>
    <w:rsid w:val="00C009DE"/>
    <w:rsid w:val="00C014F9"/>
    <w:rsid w:val="00C03034"/>
    <w:rsid w:val="00C0462C"/>
    <w:rsid w:val="00C052B1"/>
    <w:rsid w:val="00C070BF"/>
    <w:rsid w:val="00C12FF0"/>
    <w:rsid w:val="00C13586"/>
    <w:rsid w:val="00C14FF8"/>
    <w:rsid w:val="00C16D74"/>
    <w:rsid w:val="00C17329"/>
    <w:rsid w:val="00C17374"/>
    <w:rsid w:val="00C177DD"/>
    <w:rsid w:val="00C268AA"/>
    <w:rsid w:val="00C27E9D"/>
    <w:rsid w:val="00C312B4"/>
    <w:rsid w:val="00C32A7E"/>
    <w:rsid w:val="00C33BF2"/>
    <w:rsid w:val="00C35377"/>
    <w:rsid w:val="00C37CF9"/>
    <w:rsid w:val="00C4323D"/>
    <w:rsid w:val="00C44A34"/>
    <w:rsid w:val="00C44B3B"/>
    <w:rsid w:val="00C47F00"/>
    <w:rsid w:val="00C5004B"/>
    <w:rsid w:val="00C5191C"/>
    <w:rsid w:val="00C54237"/>
    <w:rsid w:val="00C55B50"/>
    <w:rsid w:val="00C60FFB"/>
    <w:rsid w:val="00C63CF1"/>
    <w:rsid w:val="00C63F28"/>
    <w:rsid w:val="00C6504A"/>
    <w:rsid w:val="00C653C5"/>
    <w:rsid w:val="00C655F9"/>
    <w:rsid w:val="00C65BFF"/>
    <w:rsid w:val="00C6762C"/>
    <w:rsid w:val="00C701BA"/>
    <w:rsid w:val="00C715F6"/>
    <w:rsid w:val="00C72072"/>
    <w:rsid w:val="00C73626"/>
    <w:rsid w:val="00C7440D"/>
    <w:rsid w:val="00C76111"/>
    <w:rsid w:val="00C80647"/>
    <w:rsid w:val="00C82CF8"/>
    <w:rsid w:val="00C83D74"/>
    <w:rsid w:val="00C8610C"/>
    <w:rsid w:val="00C9327B"/>
    <w:rsid w:val="00C935FB"/>
    <w:rsid w:val="00C93D39"/>
    <w:rsid w:val="00C94D57"/>
    <w:rsid w:val="00CA0D24"/>
    <w:rsid w:val="00CA3C60"/>
    <w:rsid w:val="00CA4336"/>
    <w:rsid w:val="00CB1028"/>
    <w:rsid w:val="00CB10DF"/>
    <w:rsid w:val="00CB4B08"/>
    <w:rsid w:val="00CB59AB"/>
    <w:rsid w:val="00CB65F1"/>
    <w:rsid w:val="00CC31B2"/>
    <w:rsid w:val="00CC41EF"/>
    <w:rsid w:val="00CD7775"/>
    <w:rsid w:val="00CD796D"/>
    <w:rsid w:val="00CE0724"/>
    <w:rsid w:val="00CE219E"/>
    <w:rsid w:val="00CE2BBC"/>
    <w:rsid w:val="00CE43F7"/>
    <w:rsid w:val="00CE5DF3"/>
    <w:rsid w:val="00CE6169"/>
    <w:rsid w:val="00CE6278"/>
    <w:rsid w:val="00CE7E5A"/>
    <w:rsid w:val="00CF1049"/>
    <w:rsid w:val="00CF1E79"/>
    <w:rsid w:val="00CF2FDC"/>
    <w:rsid w:val="00CF3718"/>
    <w:rsid w:val="00CF5BC1"/>
    <w:rsid w:val="00CF6653"/>
    <w:rsid w:val="00D002EB"/>
    <w:rsid w:val="00D01ABE"/>
    <w:rsid w:val="00D02146"/>
    <w:rsid w:val="00D03799"/>
    <w:rsid w:val="00D04BF3"/>
    <w:rsid w:val="00D05E25"/>
    <w:rsid w:val="00D07ECA"/>
    <w:rsid w:val="00D16CA9"/>
    <w:rsid w:val="00D16D31"/>
    <w:rsid w:val="00D17627"/>
    <w:rsid w:val="00D2014B"/>
    <w:rsid w:val="00D204EA"/>
    <w:rsid w:val="00D21447"/>
    <w:rsid w:val="00D31FE5"/>
    <w:rsid w:val="00D3678B"/>
    <w:rsid w:val="00D370E7"/>
    <w:rsid w:val="00D42EF7"/>
    <w:rsid w:val="00D47F8D"/>
    <w:rsid w:val="00D515D6"/>
    <w:rsid w:val="00D51B2D"/>
    <w:rsid w:val="00D521F6"/>
    <w:rsid w:val="00D528EA"/>
    <w:rsid w:val="00D53185"/>
    <w:rsid w:val="00D54320"/>
    <w:rsid w:val="00D543D5"/>
    <w:rsid w:val="00D56735"/>
    <w:rsid w:val="00D57AF0"/>
    <w:rsid w:val="00D610FF"/>
    <w:rsid w:val="00D6220C"/>
    <w:rsid w:val="00D628EB"/>
    <w:rsid w:val="00D630FE"/>
    <w:rsid w:val="00D64BA7"/>
    <w:rsid w:val="00D6543E"/>
    <w:rsid w:val="00D726B6"/>
    <w:rsid w:val="00D726BC"/>
    <w:rsid w:val="00D74D6B"/>
    <w:rsid w:val="00D75550"/>
    <w:rsid w:val="00D766B8"/>
    <w:rsid w:val="00D769F1"/>
    <w:rsid w:val="00D81B72"/>
    <w:rsid w:val="00D91604"/>
    <w:rsid w:val="00D91D48"/>
    <w:rsid w:val="00D9531B"/>
    <w:rsid w:val="00DA3311"/>
    <w:rsid w:val="00DA4204"/>
    <w:rsid w:val="00DA516B"/>
    <w:rsid w:val="00DA6B8E"/>
    <w:rsid w:val="00DB2A24"/>
    <w:rsid w:val="00DB3205"/>
    <w:rsid w:val="00DB358E"/>
    <w:rsid w:val="00DB3D41"/>
    <w:rsid w:val="00DB7F1A"/>
    <w:rsid w:val="00DC0294"/>
    <w:rsid w:val="00DC2D06"/>
    <w:rsid w:val="00DC33C6"/>
    <w:rsid w:val="00DC3632"/>
    <w:rsid w:val="00DC43EF"/>
    <w:rsid w:val="00DC70E7"/>
    <w:rsid w:val="00DD00D7"/>
    <w:rsid w:val="00DD3550"/>
    <w:rsid w:val="00DD568D"/>
    <w:rsid w:val="00DD678F"/>
    <w:rsid w:val="00DD758D"/>
    <w:rsid w:val="00DD7A0F"/>
    <w:rsid w:val="00DE05CB"/>
    <w:rsid w:val="00DE20CA"/>
    <w:rsid w:val="00DE2E3A"/>
    <w:rsid w:val="00DE5C56"/>
    <w:rsid w:val="00DE63F2"/>
    <w:rsid w:val="00DF277D"/>
    <w:rsid w:val="00DF2B58"/>
    <w:rsid w:val="00DF4F1F"/>
    <w:rsid w:val="00DF6BD2"/>
    <w:rsid w:val="00DF7A30"/>
    <w:rsid w:val="00E04720"/>
    <w:rsid w:val="00E059F2"/>
    <w:rsid w:val="00E07A56"/>
    <w:rsid w:val="00E121CB"/>
    <w:rsid w:val="00E12691"/>
    <w:rsid w:val="00E13431"/>
    <w:rsid w:val="00E161E4"/>
    <w:rsid w:val="00E21270"/>
    <w:rsid w:val="00E225A5"/>
    <w:rsid w:val="00E24151"/>
    <w:rsid w:val="00E25C04"/>
    <w:rsid w:val="00E261AA"/>
    <w:rsid w:val="00E31E52"/>
    <w:rsid w:val="00E32BE1"/>
    <w:rsid w:val="00E3552F"/>
    <w:rsid w:val="00E3575E"/>
    <w:rsid w:val="00E4198F"/>
    <w:rsid w:val="00E4554B"/>
    <w:rsid w:val="00E507BA"/>
    <w:rsid w:val="00E5222E"/>
    <w:rsid w:val="00E52AAB"/>
    <w:rsid w:val="00E52B67"/>
    <w:rsid w:val="00E530B0"/>
    <w:rsid w:val="00E54B00"/>
    <w:rsid w:val="00E57121"/>
    <w:rsid w:val="00E6218E"/>
    <w:rsid w:val="00E656CA"/>
    <w:rsid w:val="00E6593E"/>
    <w:rsid w:val="00E662F2"/>
    <w:rsid w:val="00E67D26"/>
    <w:rsid w:val="00E72A1C"/>
    <w:rsid w:val="00E763D0"/>
    <w:rsid w:val="00E76508"/>
    <w:rsid w:val="00E770B2"/>
    <w:rsid w:val="00E775CD"/>
    <w:rsid w:val="00E80D11"/>
    <w:rsid w:val="00E80EF6"/>
    <w:rsid w:val="00E81954"/>
    <w:rsid w:val="00E82A79"/>
    <w:rsid w:val="00E83F29"/>
    <w:rsid w:val="00E84A42"/>
    <w:rsid w:val="00E85BAF"/>
    <w:rsid w:val="00E87F06"/>
    <w:rsid w:val="00E9174F"/>
    <w:rsid w:val="00E92D01"/>
    <w:rsid w:val="00E93121"/>
    <w:rsid w:val="00E93350"/>
    <w:rsid w:val="00E93D49"/>
    <w:rsid w:val="00E940A6"/>
    <w:rsid w:val="00E94F02"/>
    <w:rsid w:val="00E96048"/>
    <w:rsid w:val="00EA299B"/>
    <w:rsid w:val="00EA2EEA"/>
    <w:rsid w:val="00EB04A6"/>
    <w:rsid w:val="00EB12A8"/>
    <w:rsid w:val="00EB3968"/>
    <w:rsid w:val="00EB3B0A"/>
    <w:rsid w:val="00EB479D"/>
    <w:rsid w:val="00EB7A3D"/>
    <w:rsid w:val="00EB7C10"/>
    <w:rsid w:val="00EC184B"/>
    <w:rsid w:val="00EC2B84"/>
    <w:rsid w:val="00EC3766"/>
    <w:rsid w:val="00EC47A0"/>
    <w:rsid w:val="00EC60A0"/>
    <w:rsid w:val="00ED0EFD"/>
    <w:rsid w:val="00ED2039"/>
    <w:rsid w:val="00ED4825"/>
    <w:rsid w:val="00ED51D7"/>
    <w:rsid w:val="00EE0A74"/>
    <w:rsid w:val="00EE4EB8"/>
    <w:rsid w:val="00EE69A0"/>
    <w:rsid w:val="00EE7D25"/>
    <w:rsid w:val="00EE7E8D"/>
    <w:rsid w:val="00EF3E32"/>
    <w:rsid w:val="00EF42F0"/>
    <w:rsid w:val="00EF50C3"/>
    <w:rsid w:val="00F03606"/>
    <w:rsid w:val="00F0364A"/>
    <w:rsid w:val="00F06790"/>
    <w:rsid w:val="00F06DFA"/>
    <w:rsid w:val="00F124FA"/>
    <w:rsid w:val="00F1303C"/>
    <w:rsid w:val="00F14112"/>
    <w:rsid w:val="00F155B3"/>
    <w:rsid w:val="00F1652C"/>
    <w:rsid w:val="00F16DA5"/>
    <w:rsid w:val="00F2251D"/>
    <w:rsid w:val="00F26EFE"/>
    <w:rsid w:val="00F31C42"/>
    <w:rsid w:val="00F32383"/>
    <w:rsid w:val="00F354CA"/>
    <w:rsid w:val="00F37DC0"/>
    <w:rsid w:val="00F41122"/>
    <w:rsid w:val="00F411BD"/>
    <w:rsid w:val="00F41734"/>
    <w:rsid w:val="00F425FA"/>
    <w:rsid w:val="00F43650"/>
    <w:rsid w:val="00F43FD6"/>
    <w:rsid w:val="00F44F67"/>
    <w:rsid w:val="00F5009F"/>
    <w:rsid w:val="00F50B0C"/>
    <w:rsid w:val="00F5193D"/>
    <w:rsid w:val="00F52A73"/>
    <w:rsid w:val="00F5318D"/>
    <w:rsid w:val="00F537F1"/>
    <w:rsid w:val="00F54634"/>
    <w:rsid w:val="00F550AB"/>
    <w:rsid w:val="00F55E7A"/>
    <w:rsid w:val="00F606A1"/>
    <w:rsid w:val="00F62179"/>
    <w:rsid w:val="00F62E5D"/>
    <w:rsid w:val="00F632D3"/>
    <w:rsid w:val="00F66CE9"/>
    <w:rsid w:val="00F66E68"/>
    <w:rsid w:val="00F67C38"/>
    <w:rsid w:val="00F7105A"/>
    <w:rsid w:val="00F72A4A"/>
    <w:rsid w:val="00F73E34"/>
    <w:rsid w:val="00F73FD4"/>
    <w:rsid w:val="00F74417"/>
    <w:rsid w:val="00F76DAF"/>
    <w:rsid w:val="00F800CE"/>
    <w:rsid w:val="00F85429"/>
    <w:rsid w:val="00F860BF"/>
    <w:rsid w:val="00F868B4"/>
    <w:rsid w:val="00F91D5E"/>
    <w:rsid w:val="00F92B52"/>
    <w:rsid w:val="00F96148"/>
    <w:rsid w:val="00FA22E0"/>
    <w:rsid w:val="00FA3017"/>
    <w:rsid w:val="00FA3225"/>
    <w:rsid w:val="00FA3290"/>
    <w:rsid w:val="00FA4458"/>
    <w:rsid w:val="00FA4738"/>
    <w:rsid w:val="00FC05FA"/>
    <w:rsid w:val="00FC0682"/>
    <w:rsid w:val="00FC3718"/>
    <w:rsid w:val="00FC66C8"/>
    <w:rsid w:val="00FD2775"/>
    <w:rsid w:val="00FD7337"/>
    <w:rsid w:val="00FE1131"/>
    <w:rsid w:val="00FE3D82"/>
    <w:rsid w:val="00FF0D95"/>
    <w:rsid w:val="00FF17AE"/>
    <w:rsid w:val="00FF6F52"/>
    <w:rsid w:val="00FF7045"/>
    <w:rsid w:val="012A1FB8"/>
    <w:rsid w:val="01AB40A1"/>
    <w:rsid w:val="032E302C"/>
    <w:rsid w:val="036577D9"/>
    <w:rsid w:val="03AB5AD9"/>
    <w:rsid w:val="03B33954"/>
    <w:rsid w:val="04034C8D"/>
    <w:rsid w:val="04532552"/>
    <w:rsid w:val="04852F6F"/>
    <w:rsid w:val="04DA1D43"/>
    <w:rsid w:val="05A05FFE"/>
    <w:rsid w:val="05D62B9C"/>
    <w:rsid w:val="05E250F7"/>
    <w:rsid w:val="06063744"/>
    <w:rsid w:val="062828B6"/>
    <w:rsid w:val="06D57CC7"/>
    <w:rsid w:val="073618AD"/>
    <w:rsid w:val="079B5A05"/>
    <w:rsid w:val="07FA704E"/>
    <w:rsid w:val="08255A6C"/>
    <w:rsid w:val="082D5755"/>
    <w:rsid w:val="08405BE2"/>
    <w:rsid w:val="087E45E3"/>
    <w:rsid w:val="08C77EE8"/>
    <w:rsid w:val="08FE5053"/>
    <w:rsid w:val="098D57E6"/>
    <w:rsid w:val="099E2CF2"/>
    <w:rsid w:val="09E2531C"/>
    <w:rsid w:val="0A114120"/>
    <w:rsid w:val="0A4C1EA3"/>
    <w:rsid w:val="0B195855"/>
    <w:rsid w:val="0B3218A3"/>
    <w:rsid w:val="0B672021"/>
    <w:rsid w:val="0C5C5887"/>
    <w:rsid w:val="0C665BD6"/>
    <w:rsid w:val="0C8052B1"/>
    <w:rsid w:val="0CBC24BD"/>
    <w:rsid w:val="0CCD5BD8"/>
    <w:rsid w:val="0D391B51"/>
    <w:rsid w:val="0E0F1F76"/>
    <w:rsid w:val="0E6B711F"/>
    <w:rsid w:val="0E8E7F28"/>
    <w:rsid w:val="0EEE0C2F"/>
    <w:rsid w:val="0F0405AB"/>
    <w:rsid w:val="0F466DBB"/>
    <w:rsid w:val="0F4C5816"/>
    <w:rsid w:val="0F6A2BB4"/>
    <w:rsid w:val="0FC579C8"/>
    <w:rsid w:val="10713EE6"/>
    <w:rsid w:val="108466AC"/>
    <w:rsid w:val="10AE566E"/>
    <w:rsid w:val="10E87910"/>
    <w:rsid w:val="124C0141"/>
    <w:rsid w:val="129A676E"/>
    <w:rsid w:val="12E11A51"/>
    <w:rsid w:val="13576FBE"/>
    <w:rsid w:val="13AF74CB"/>
    <w:rsid w:val="13E67488"/>
    <w:rsid w:val="13EB6653"/>
    <w:rsid w:val="13F019E6"/>
    <w:rsid w:val="155E21F7"/>
    <w:rsid w:val="15962C1C"/>
    <w:rsid w:val="179D6AB3"/>
    <w:rsid w:val="17A61320"/>
    <w:rsid w:val="17FF017F"/>
    <w:rsid w:val="18530F0A"/>
    <w:rsid w:val="195859BE"/>
    <w:rsid w:val="1AA36923"/>
    <w:rsid w:val="1AC508E3"/>
    <w:rsid w:val="1AE21C0C"/>
    <w:rsid w:val="1AEF6C47"/>
    <w:rsid w:val="1B257FA0"/>
    <w:rsid w:val="1BD2358E"/>
    <w:rsid w:val="1C9B0D63"/>
    <w:rsid w:val="1D7E40AC"/>
    <w:rsid w:val="1DBF7438"/>
    <w:rsid w:val="1E0A7BD1"/>
    <w:rsid w:val="1E101900"/>
    <w:rsid w:val="1E56732B"/>
    <w:rsid w:val="1E750FA0"/>
    <w:rsid w:val="1E96556E"/>
    <w:rsid w:val="1EBC7C7E"/>
    <w:rsid w:val="1EFE2187"/>
    <w:rsid w:val="1F48727B"/>
    <w:rsid w:val="20811499"/>
    <w:rsid w:val="20CB335E"/>
    <w:rsid w:val="21343D22"/>
    <w:rsid w:val="218E2810"/>
    <w:rsid w:val="222C0990"/>
    <w:rsid w:val="235000AC"/>
    <w:rsid w:val="23E032D1"/>
    <w:rsid w:val="24197CC0"/>
    <w:rsid w:val="24533933"/>
    <w:rsid w:val="247265AC"/>
    <w:rsid w:val="248F159F"/>
    <w:rsid w:val="249336CA"/>
    <w:rsid w:val="24CD78E7"/>
    <w:rsid w:val="24EC716E"/>
    <w:rsid w:val="25131865"/>
    <w:rsid w:val="25382991"/>
    <w:rsid w:val="253C5221"/>
    <w:rsid w:val="25DC7E7B"/>
    <w:rsid w:val="25E54A66"/>
    <w:rsid w:val="263E0339"/>
    <w:rsid w:val="26BB1828"/>
    <w:rsid w:val="26E047AD"/>
    <w:rsid w:val="272A00CD"/>
    <w:rsid w:val="273A29C8"/>
    <w:rsid w:val="276130C9"/>
    <w:rsid w:val="281D00FC"/>
    <w:rsid w:val="2886573F"/>
    <w:rsid w:val="28F525E4"/>
    <w:rsid w:val="2921776D"/>
    <w:rsid w:val="297E260D"/>
    <w:rsid w:val="29CE177D"/>
    <w:rsid w:val="29F07AA3"/>
    <w:rsid w:val="2A4A33C2"/>
    <w:rsid w:val="2B2B6C3B"/>
    <w:rsid w:val="2C60211B"/>
    <w:rsid w:val="2D0131EA"/>
    <w:rsid w:val="2D3B2CD4"/>
    <w:rsid w:val="2D6E2161"/>
    <w:rsid w:val="2DB80B22"/>
    <w:rsid w:val="2DCC52D6"/>
    <w:rsid w:val="2F1A0D0C"/>
    <w:rsid w:val="2F2C191A"/>
    <w:rsid w:val="2FFF52FB"/>
    <w:rsid w:val="300277BC"/>
    <w:rsid w:val="30776468"/>
    <w:rsid w:val="31576493"/>
    <w:rsid w:val="328942D6"/>
    <w:rsid w:val="32CB125E"/>
    <w:rsid w:val="32CC6A06"/>
    <w:rsid w:val="3330784A"/>
    <w:rsid w:val="3373695F"/>
    <w:rsid w:val="3431698F"/>
    <w:rsid w:val="34EC55F5"/>
    <w:rsid w:val="34F5421B"/>
    <w:rsid w:val="34FF03CA"/>
    <w:rsid w:val="351D2FEC"/>
    <w:rsid w:val="360B42D1"/>
    <w:rsid w:val="36283EE8"/>
    <w:rsid w:val="363A5529"/>
    <w:rsid w:val="3656257A"/>
    <w:rsid w:val="37930EDD"/>
    <w:rsid w:val="3794695F"/>
    <w:rsid w:val="37B618B7"/>
    <w:rsid w:val="380168C0"/>
    <w:rsid w:val="382218E6"/>
    <w:rsid w:val="3876710B"/>
    <w:rsid w:val="38802760"/>
    <w:rsid w:val="38864661"/>
    <w:rsid w:val="38C27759"/>
    <w:rsid w:val="38CA2F07"/>
    <w:rsid w:val="395B4327"/>
    <w:rsid w:val="395E0361"/>
    <w:rsid w:val="39C76317"/>
    <w:rsid w:val="3AEB20AF"/>
    <w:rsid w:val="3B0D2FF8"/>
    <w:rsid w:val="3B5618AE"/>
    <w:rsid w:val="3B7E61C2"/>
    <w:rsid w:val="3CBB3914"/>
    <w:rsid w:val="3CBD3CBE"/>
    <w:rsid w:val="3CC56770"/>
    <w:rsid w:val="3D0F0D46"/>
    <w:rsid w:val="3DA43129"/>
    <w:rsid w:val="3E0B2F24"/>
    <w:rsid w:val="3F1B46D4"/>
    <w:rsid w:val="3F3E3374"/>
    <w:rsid w:val="3F5A54B3"/>
    <w:rsid w:val="40D339A9"/>
    <w:rsid w:val="40EE09C2"/>
    <w:rsid w:val="41113877"/>
    <w:rsid w:val="41256DD1"/>
    <w:rsid w:val="41307566"/>
    <w:rsid w:val="414441C1"/>
    <w:rsid w:val="41A125EE"/>
    <w:rsid w:val="41F95C28"/>
    <w:rsid w:val="42BB0F7A"/>
    <w:rsid w:val="43212C28"/>
    <w:rsid w:val="433F2DCA"/>
    <w:rsid w:val="43A434C1"/>
    <w:rsid w:val="43BC7015"/>
    <w:rsid w:val="4409128D"/>
    <w:rsid w:val="44122829"/>
    <w:rsid w:val="44543670"/>
    <w:rsid w:val="44605AA1"/>
    <w:rsid w:val="448441C6"/>
    <w:rsid w:val="44DE13ED"/>
    <w:rsid w:val="454E618C"/>
    <w:rsid w:val="455E5523"/>
    <w:rsid w:val="455E7D03"/>
    <w:rsid w:val="45DE74DC"/>
    <w:rsid w:val="45F710A6"/>
    <w:rsid w:val="461A6218"/>
    <w:rsid w:val="467816D6"/>
    <w:rsid w:val="46AA34CB"/>
    <w:rsid w:val="471E3245"/>
    <w:rsid w:val="477505BE"/>
    <w:rsid w:val="47AC78CE"/>
    <w:rsid w:val="486C5F49"/>
    <w:rsid w:val="490F634D"/>
    <w:rsid w:val="493C677C"/>
    <w:rsid w:val="49891740"/>
    <w:rsid w:val="49CB67B1"/>
    <w:rsid w:val="4A1664EA"/>
    <w:rsid w:val="4A3860C7"/>
    <w:rsid w:val="4A8D3B01"/>
    <w:rsid w:val="4A8F5FA4"/>
    <w:rsid w:val="4AB2407D"/>
    <w:rsid w:val="4AC659A3"/>
    <w:rsid w:val="4B2C4E14"/>
    <w:rsid w:val="4B4F3C41"/>
    <w:rsid w:val="4B872A4E"/>
    <w:rsid w:val="4BE5047A"/>
    <w:rsid w:val="4D883E0F"/>
    <w:rsid w:val="4DF27088"/>
    <w:rsid w:val="4E0A7D09"/>
    <w:rsid w:val="4EA04EE2"/>
    <w:rsid w:val="4F670185"/>
    <w:rsid w:val="504D52B1"/>
    <w:rsid w:val="50685498"/>
    <w:rsid w:val="508548C0"/>
    <w:rsid w:val="51931D7A"/>
    <w:rsid w:val="52026275"/>
    <w:rsid w:val="52EF0879"/>
    <w:rsid w:val="53586228"/>
    <w:rsid w:val="53B212B6"/>
    <w:rsid w:val="53C04244"/>
    <w:rsid w:val="53EC5C4B"/>
    <w:rsid w:val="545B7D3A"/>
    <w:rsid w:val="54BD3314"/>
    <w:rsid w:val="550A163F"/>
    <w:rsid w:val="552C10A6"/>
    <w:rsid w:val="55594301"/>
    <w:rsid w:val="5588328B"/>
    <w:rsid w:val="567D3B60"/>
    <w:rsid w:val="56804E7F"/>
    <w:rsid w:val="5685473B"/>
    <w:rsid w:val="56EB17D9"/>
    <w:rsid w:val="57DF32FD"/>
    <w:rsid w:val="58A7612B"/>
    <w:rsid w:val="5907609A"/>
    <w:rsid w:val="5BFA14B1"/>
    <w:rsid w:val="5BFB4916"/>
    <w:rsid w:val="5C0326EE"/>
    <w:rsid w:val="5CB42104"/>
    <w:rsid w:val="5CE0792A"/>
    <w:rsid w:val="5CED3AAD"/>
    <w:rsid w:val="5D6D728F"/>
    <w:rsid w:val="5D8D3634"/>
    <w:rsid w:val="5DB35217"/>
    <w:rsid w:val="5DC47446"/>
    <w:rsid w:val="5E070142"/>
    <w:rsid w:val="5ED82206"/>
    <w:rsid w:val="5F711593"/>
    <w:rsid w:val="5FDA3F33"/>
    <w:rsid w:val="60781D85"/>
    <w:rsid w:val="61307BC0"/>
    <w:rsid w:val="61CE4392"/>
    <w:rsid w:val="62D03D0B"/>
    <w:rsid w:val="63EB2ECD"/>
    <w:rsid w:val="64117474"/>
    <w:rsid w:val="6541034B"/>
    <w:rsid w:val="65F226AB"/>
    <w:rsid w:val="66254627"/>
    <w:rsid w:val="66555FBC"/>
    <w:rsid w:val="670E5EDB"/>
    <w:rsid w:val="68012A21"/>
    <w:rsid w:val="68087144"/>
    <w:rsid w:val="68DF74A4"/>
    <w:rsid w:val="6A077629"/>
    <w:rsid w:val="6A953C66"/>
    <w:rsid w:val="6AE51186"/>
    <w:rsid w:val="6B5322E5"/>
    <w:rsid w:val="6BC8731B"/>
    <w:rsid w:val="6C1E28FB"/>
    <w:rsid w:val="6C4F26AA"/>
    <w:rsid w:val="6C681EA6"/>
    <w:rsid w:val="6D0B1928"/>
    <w:rsid w:val="6D231600"/>
    <w:rsid w:val="6D4800E9"/>
    <w:rsid w:val="6DA53857"/>
    <w:rsid w:val="6E45237D"/>
    <w:rsid w:val="6E8313E6"/>
    <w:rsid w:val="6EA44E08"/>
    <w:rsid w:val="6F742C16"/>
    <w:rsid w:val="6F9E5635"/>
    <w:rsid w:val="70126A19"/>
    <w:rsid w:val="707767FC"/>
    <w:rsid w:val="708741AC"/>
    <w:rsid w:val="70B45BE6"/>
    <w:rsid w:val="70C276BE"/>
    <w:rsid w:val="70EB255D"/>
    <w:rsid w:val="711F1022"/>
    <w:rsid w:val="71552ECC"/>
    <w:rsid w:val="716F6CDC"/>
    <w:rsid w:val="71C77974"/>
    <w:rsid w:val="71C8136F"/>
    <w:rsid w:val="721B2558"/>
    <w:rsid w:val="72E10172"/>
    <w:rsid w:val="73190E14"/>
    <w:rsid w:val="731979EF"/>
    <w:rsid w:val="73335882"/>
    <w:rsid w:val="73466992"/>
    <w:rsid w:val="73660203"/>
    <w:rsid w:val="73BF5625"/>
    <w:rsid w:val="74496239"/>
    <w:rsid w:val="747D1240"/>
    <w:rsid w:val="747F4091"/>
    <w:rsid w:val="74F30500"/>
    <w:rsid w:val="7520369D"/>
    <w:rsid w:val="75292E29"/>
    <w:rsid w:val="752A62C2"/>
    <w:rsid w:val="755872B0"/>
    <w:rsid w:val="75D06669"/>
    <w:rsid w:val="76D44BC8"/>
    <w:rsid w:val="76FA64BE"/>
    <w:rsid w:val="771F3354"/>
    <w:rsid w:val="78004C3D"/>
    <w:rsid w:val="781C2D4E"/>
    <w:rsid w:val="781D2CB0"/>
    <w:rsid w:val="782A13BB"/>
    <w:rsid w:val="78A9558E"/>
    <w:rsid w:val="79DE773C"/>
    <w:rsid w:val="7A98773B"/>
    <w:rsid w:val="7ACA158D"/>
    <w:rsid w:val="7B604CC9"/>
    <w:rsid w:val="7C790995"/>
    <w:rsid w:val="7C934D16"/>
    <w:rsid w:val="7C9350F4"/>
    <w:rsid w:val="7D391F1F"/>
    <w:rsid w:val="7D4503CC"/>
    <w:rsid w:val="7D6D6714"/>
    <w:rsid w:val="7D7B2AA3"/>
    <w:rsid w:val="7E1D5968"/>
    <w:rsid w:val="7E7659CC"/>
    <w:rsid w:val="7E884E6B"/>
    <w:rsid w:val="7E9E6660"/>
    <w:rsid w:val="7EEF0F2A"/>
    <w:rsid w:val="7F202930"/>
    <w:rsid w:val="7F6B7191"/>
    <w:rsid w:val="7F76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黑体"/>
      <w:b/>
      <w:kern w:val="44"/>
      <w:sz w:val="36"/>
      <w:szCs w:val="20"/>
    </w:rPr>
  </w:style>
  <w:style w:type="paragraph" w:styleId="4">
    <w:name w:val="heading 2"/>
    <w:basedOn w:val="1"/>
    <w:next w:val="1"/>
    <w:qFormat/>
    <w:uiPriority w:val="0"/>
    <w:pPr>
      <w:keepNext/>
      <w:keepLines/>
      <w:spacing w:before="260" w:after="260" w:line="413" w:lineRule="auto"/>
      <w:jc w:val="center"/>
      <w:outlineLvl w:val="1"/>
    </w:pPr>
    <w:rPr>
      <w:rFonts w:ascii="CG Times" w:hAnsi="CG Times"/>
      <w:b/>
      <w:sz w:val="30"/>
      <w:szCs w:val="20"/>
    </w:rPr>
  </w:style>
  <w:style w:type="paragraph" w:styleId="5">
    <w:name w:val="heading 3"/>
    <w:basedOn w:val="1"/>
    <w:next w:val="6"/>
    <w:qFormat/>
    <w:uiPriority w:val="0"/>
    <w:pPr>
      <w:keepNext/>
      <w:keepLines/>
      <w:tabs>
        <w:tab w:val="left" w:pos="5852"/>
      </w:tabs>
      <w:snapToGrid w:val="0"/>
      <w:spacing w:before="360" w:line="240" w:lineRule="exact"/>
      <w:ind w:left="425" w:hanging="425"/>
      <w:outlineLvl w:val="2"/>
    </w:pPr>
    <w:rPr>
      <w:b/>
      <w:sz w:val="28"/>
      <w:szCs w:val="20"/>
    </w:rPr>
  </w:style>
  <w:style w:type="paragraph" w:styleId="7">
    <w:name w:val="heading 4"/>
    <w:basedOn w:val="1"/>
    <w:next w:val="6"/>
    <w:qFormat/>
    <w:uiPriority w:val="0"/>
    <w:pPr>
      <w:keepNext/>
      <w:keepLines/>
      <w:tabs>
        <w:tab w:val="left" w:pos="425"/>
      </w:tabs>
      <w:spacing w:before="360" w:line="240" w:lineRule="exact"/>
      <w:ind w:left="425" w:hanging="425"/>
      <w:outlineLvl w:val="3"/>
    </w:pPr>
    <w:rPr>
      <w:rFonts w:ascii="宋体"/>
      <w:b/>
      <w:sz w:val="28"/>
      <w:szCs w:val="20"/>
    </w:rPr>
  </w:style>
  <w:style w:type="paragraph" w:styleId="8">
    <w:name w:val="heading 5"/>
    <w:basedOn w:val="1"/>
    <w:next w:val="6"/>
    <w:qFormat/>
    <w:uiPriority w:val="0"/>
    <w:pPr>
      <w:keepNext/>
      <w:keepLines/>
      <w:spacing w:before="280" w:after="290" w:line="372" w:lineRule="auto"/>
      <w:outlineLvl w:val="4"/>
    </w:pPr>
    <w:rPr>
      <w:b/>
      <w:sz w:val="28"/>
      <w:szCs w:val="20"/>
    </w:rPr>
  </w:style>
  <w:style w:type="paragraph" w:styleId="9">
    <w:name w:val="heading 6"/>
    <w:basedOn w:val="1"/>
    <w:next w:val="6"/>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6"/>
    <w:qFormat/>
    <w:uiPriority w:val="0"/>
    <w:pPr>
      <w:keepNext/>
      <w:keepLines/>
      <w:spacing w:before="240" w:after="64" w:line="317" w:lineRule="auto"/>
      <w:outlineLvl w:val="6"/>
    </w:pPr>
    <w:rPr>
      <w:b/>
      <w:sz w:val="24"/>
      <w:szCs w:val="20"/>
    </w:rPr>
  </w:style>
  <w:style w:type="paragraph" w:styleId="11">
    <w:name w:val="heading 8"/>
    <w:basedOn w:val="1"/>
    <w:next w:val="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6"/>
    <w:qFormat/>
    <w:uiPriority w:val="0"/>
    <w:pPr>
      <w:keepNext/>
      <w:keepLines/>
      <w:spacing w:before="240" w:after="64" w:line="317"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6">
    <w:name w:val="Normal Indent"/>
    <w:basedOn w:val="1"/>
    <w:link w:val="41"/>
    <w:qFormat/>
    <w:uiPriority w:val="0"/>
    <w:pPr>
      <w:ind w:firstLine="420"/>
    </w:pPr>
    <w:rPr>
      <w:szCs w:val="20"/>
    </w:rPr>
  </w:style>
  <w:style w:type="paragraph" w:styleId="13">
    <w:name w:val="toc 7"/>
    <w:basedOn w:val="1"/>
    <w:next w:val="1"/>
    <w:qFormat/>
    <w:uiPriority w:val="0"/>
    <w:pPr>
      <w:ind w:left="-26" w:leftChars="-13" w:hanging="1"/>
    </w:pPr>
    <w:rPr>
      <w:rFonts w:ascii="Times New Roman" w:hAnsi="Times New Roman" w:eastAsia="宋体" w:cs="Times New Roman"/>
    </w:rPr>
  </w:style>
  <w:style w:type="paragraph" w:styleId="14">
    <w:name w:val="caption"/>
    <w:basedOn w:val="1"/>
    <w:next w:val="1"/>
    <w:qFormat/>
    <w:uiPriority w:val="0"/>
    <w:rPr>
      <w:rFonts w:ascii="Arial" w:hAnsi="Arial" w:eastAsia="黑体" w:cs="Arial"/>
      <w:sz w:val="20"/>
    </w:rPr>
  </w:style>
  <w:style w:type="paragraph" w:styleId="15">
    <w:name w:val="Document Map"/>
    <w:basedOn w:val="1"/>
    <w:qFormat/>
    <w:uiPriority w:val="0"/>
    <w:pPr>
      <w:shd w:val="clear" w:color="auto" w:fill="000080"/>
    </w:pPr>
  </w:style>
  <w:style w:type="paragraph" w:styleId="16">
    <w:name w:val="annotation text"/>
    <w:basedOn w:val="1"/>
    <w:link w:val="44"/>
    <w:semiHidden/>
    <w:qFormat/>
    <w:uiPriority w:val="0"/>
    <w:pPr>
      <w:jc w:val="left"/>
    </w:pPr>
    <w:rPr>
      <w:szCs w:val="20"/>
    </w:rPr>
  </w:style>
  <w:style w:type="paragraph" w:styleId="17">
    <w:name w:val="Body Text"/>
    <w:basedOn w:val="1"/>
    <w:qFormat/>
    <w:uiPriority w:val="0"/>
    <w:pPr>
      <w:spacing w:line="380" w:lineRule="exact"/>
    </w:pPr>
    <w:rPr>
      <w:sz w:val="24"/>
    </w:rPr>
  </w:style>
  <w:style w:type="paragraph" w:styleId="18">
    <w:name w:val="Body Text Indent"/>
    <w:basedOn w:val="1"/>
    <w:qFormat/>
    <w:uiPriority w:val="0"/>
    <w:pPr>
      <w:spacing w:after="120"/>
      <w:ind w:left="420" w:leftChars="200"/>
    </w:pPr>
  </w:style>
  <w:style w:type="paragraph" w:styleId="19">
    <w:name w:val="Plain Text"/>
    <w:basedOn w:val="1"/>
    <w:link w:val="38"/>
    <w:qFormat/>
    <w:uiPriority w:val="0"/>
    <w:rPr>
      <w:rFonts w:ascii="宋体" w:hAnsi="Courier New"/>
    </w:rPr>
  </w:style>
  <w:style w:type="paragraph" w:styleId="20">
    <w:name w:val="Date"/>
    <w:basedOn w:val="1"/>
    <w:next w:val="1"/>
    <w:qFormat/>
    <w:uiPriority w:val="0"/>
    <w:rPr>
      <w:sz w:val="28"/>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qFormat/>
    <w:uiPriority w:val="0"/>
    <w:rPr>
      <w:sz w:val="18"/>
      <w:szCs w:val="18"/>
    </w:rPr>
  </w:style>
  <w:style w:type="paragraph" w:styleId="23">
    <w:name w:val="footer"/>
    <w:basedOn w:val="1"/>
    <w:link w:val="39"/>
    <w:qFormat/>
    <w:uiPriority w:val="99"/>
    <w:pPr>
      <w:tabs>
        <w:tab w:val="center" w:pos="4153"/>
        <w:tab w:val="right" w:pos="8306"/>
      </w:tabs>
      <w:snapToGrid w:val="0"/>
      <w:jc w:val="left"/>
    </w:pPr>
    <w:rPr>
      <w:sz w:val="18"/>
      <w:szCs w:val="20"/>
    </w:rPr>
  </w:style>
  <w:style w:type="paragraph" w:styleId="24">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0"/>
  </w:style>
  <w:style w:type="paragraph" w:styleId="26">
    <w:name w:val="toc 2"/>
    <w:basedOn w:val="1"/>
    <w:next w:val="1"/>
    <w:qFormat/>
    <w:uiPriority w:val="0"/>
    <w:pPr>
      <w:ind w:left="420" w:leftChars="200"/>
    </w:pPr>
  </w:style>
  <w:style w:type="paragraph" w:styleId="27">
    <w:name w:val="Body Text 2"/>
    <w:basedOn w:val="1"/>
    <w:qFormat/>
    <w:uiPriority w:val="0"/>
    <w:pPr>
      <w:spacing w:after="120" w:line="480" w:lineRule="auto"/>
    </w:pPr>
  </w:style>
  <w:style w:type="paragraph" w:styleId="28">
    <w:name w:val="Normal (Web)"/>
    <w:basedOn w:val="1"/>
    <w:qFormat/>
    <w:uiPriority w:val="0"/>
    <w:pPr>
      <w:spacing w:line="300" w:lineRule="auto"/>
    </w:pPr>
    <w:rPr>
      <w:sz w:val="24"/>
    </w:rPr>
  </w:style>
  <w:style w:type="paragraph" w:styleId="29">
    <w:name w:val="annotation subject"/>
    <w:basedOn w:val="16"/>
    <w:next w:val="16"/>
    <w:link w:val="43"/>
    <w:qFormat/>
    <w:uiPriority w:val="0"/>
    <w:rPr>
      <w:b/>
      <w:bCs/>
      <w:szCs w:val="24"/>
    </w:rPr>
  </w:style>
  <w:style w:type="paragraph" w:styleId="30">
    <w:name w:val="Body Text First Indent 2"/>
    <w:basedOn w:val="18"/>
    <w:qFormat/>
    <w:uiPriority w:val="0"/>
    <w:pPr>
      <w:spacing w:after="120"/>
      <w:ind w:left="200" w:leftChars="200" w:firstLine="42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Hyperlink"/>
    <w:basedOn w:val="33"/>
    <w:qFormat/>
    <w:uiPriority w:val="99"/>
    <w:rPr>
      <w:color w:val="0000FF"/>
      <w:u w:val="single"/>
    </w:rPr>
  </w:style>
  <w:style w:type="character" w:styleId="37">
    <w:name w:val="annotation reference"/>
    <w:basedOn w:val="33"/>
    <w:qFormat/>
    <w:uiPriority w:val="99"/>
    <w:rPr>
      <w:sz w:val="21"/>
      <w:szCs w:val="21"/>
    </w:rPr>
  </w:style>
  <w:style w:type="character" w:customStyle="1" w:styleId="38">
    <w:name w:val="纯文本 Char"/>
    <w:basedOn w:val="33"/>
    <w:link w:val="19"/>
    <w:qFormat/>
    <w:uiPriority w:val="0"/>
    <w:rPr>
      <w:rFonts w:ascii="宋体" w:hAnsi="Courier New" w:eastAsia="宋体"/>
      <w:kern w:val="2"/>
      <w:sz w:val="21"/>
      <w:lang w:val="en-US" w:eastAsia="zh-CN" w:bidi="ar-SA"/>
    </w:rPr>
  </w:style>
  <w:style w:type="character" w:customStyle="1" w:styleId="39">
    <w:name w:val="页脚 Char"/>
    <w:basedOn w:val="33"/>
    <w:link w:val="23"/>
    <w:qFormat/>
    <w:uiPriority w:val="99"/>
    <w:rPr>
      <w:kern w:val="2"/>
      <w:sz w:val="18"/>
    </w:rPr>
  </w:style>
  <w:style w:type="character" w:customStyle="1" w:styleId="40">
    <w:name w:val="页眉 Char"/>
    <w:basedOn w:val="33"/>
    <w:link w:val="24"/>
    <w:qFormat/>
    <w:uiPriority w:val="99"/>
    <w:rPr>
      <w:kern w:val="2"/>
      <w:sz w:val="18"/>
    </w:rPr>
  </w:style>
  <w:style w:type="character" w:customStyle="1" w:styleId="41">
    <w:name w:val="正文缩进 Char"/>
    <w:basedOn w:val="33"/>
    <w:link w:val="6"/>
    <w:qFormat/>
    <w:uiPriority w:val="0"/>
    <w:rPr>
      <w:rFonts w:eastAsia="宋体"/>
      <w:kern w:val="2"/>
      <w:sz w:val="21"/>
      <w:lang w:val="en-US" w:eastAsia="zh-CN" w:bidi="ar-SA"/>
    </w:rPr>
  </w:style>
  <w:style w:type="character" w:customStyle="1" w:styleId="42">
    <w:name w:val="普通文字 Char Char1"/>
    <w:qFormat/>
    <w:uiPriority w:val="0"/>
    <w:rPr>
      <w:rFonts w:ascii="宋体" w:hAnsi="Courier New" w:eastAsia="宋体"/>
      <w:kern w:val="2"/>
      <w:sz w:val="21"/>
      <w:lang w:val="en-US" w:eastAsia="zh-CN" w:bidi="ar-SA"/>
    </w:rPr>
  </w:style>
  <w:style w:type="character" w:customStyle="1" w:styleId="43">
    <w:name w:val="批注主题 Char"/>
    <w:basedOn w:val="44"/>
    <w:link w:val="29"/>
    <w:qFormat/>
    <w:uiPriority w:val="0"/>
    <w:rPr>
      <w:kern w:val="2"/>
      <w:sz w:val="21"/>
    </w:rPr>
  </w:style>
  <w:style w:type="character" w:customStyle="1" w:styleId="44">
    <w:name w:val="批注文字 Char"/>
    <w:basedOn w:val="33"/>
    <w:link w:val="16"/>
    <w:semiHidden/>
    <w:qFormat/>
    <w:uiPriority w:val="0"/>
    <w:rPr>
      <w:kern w:val="2"/>
      <w:sz w:val="21"/>
    </w:rPr>
  </w:style>
  <w:style w:type="character" w:customStyle="1" w:styleId="45">
    <w:name w:val="Char Char Char"/>
    <w:basedOn w:val="33"/>
    <w:qFormat/>
    <w:uiPriority w:val="0"/>
    <w:rPr>
      <w:rFonts w:ascii="宋体" w:hAnsi="Courier New" w:eastAsia="宋体"/>
      <w:kern w:val="2"/>
      <w:sz w:val="21"/>
      <w:lang w:val="en-US" w:eastAsia="zh-CN" w:bidi="ar-SA"/>
    </w:rPr>
  </w:style>
  <w:style w:type="paragraph" w:customStyle="1" w:styleId="46">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Char Char Char Char"/>
    <w:basedOn w:val="1"/>
    <w:qFormat/>
    <w:uiPriority w:val="0"/>
    <w:rPr>
      <w:rFonts w:ascii="Tahoma" w:hAnsi="Tahoma"/>
      <w:sz w:val="24"/>
      <w:szCs w:val="20"/>
    </w:rPr>
  </w:style>
  <w:style w:type="paragraph" w:customStyle="1" w:styleId="49">
    <w:name w:val="Char1"/>
    <w:basedOn w:val="1"/>
    <w:qFormat/>
    <w:uiPriority w:val="0"/>
    <w:rPr>
      <w:rFonts w:ascii="Tahoma" w:hAnsi="Tahoma"/>
      <w:sz w:val="24"/>
      <w:szCs w:val="20"/>
    </w:rPr>
  </w:style>
  <w:style w:type="paragraph" w:customStyle="1" w:styleId="50">
    <w:name w:val="Char2"/>
    <w:basedOn w:val="1"/>
    <w:qFormat/>
    <w:uiPriority w:val="0"/>
  </w:style>
  <w:style w:type="paragraph" w:customStyle="1" w:styleId="51">
    <w:name w:val="基准页眉样式"/>
    <w:basedOn w:val="17"/>
    <w:qFormat/>
    <w:uiPriority w:val="0"/>
    <w:pPr>
      <w:jc w:val="center"/>
    </w:pPr>
    <w:rPr>
      <w:rFonts w:eastAsia="楷体_GB2312"/>
      <w:szCs w:val="20"/>
    </w:rPr>
  </w:style>
  <w:style w:type="paragraph" w:customStyle="1" w:styleId="52">
    <w:name w:val="标准"/>
    <w:basedOn w:val="1"/>
    <w:qFormat/>
    <w:uiPriority w:val="0"/>
    <w:pPr>
      <w:spacing w:line="360" w:lineRule="auto"/>
      <w:ind w:firstLine="200" w:firstLineChars="200"/>
    </w:pPr>
    <w:rPr>
      <w:rFonts w:cs="宋体"/>
      <w:szCs w:val="20"/>
    </w:rPr>
  </w:style>
  <w:style w:type="paragraph" w:customStyle="1" w:styleId="53">
    <w:name w:val="p0"/>
    <w:basedOn w:val="1"/>
    <w:qFormat/>
    <w:uiPriority w:val="0"/>
    <w:pPr>
      <w:widowControl/>
    </w:pPr>
    <w:rPr>
      <w:kern w:val="0"/>
      <w:szCs w:val="21"/>
    </w:rPr>
  </w:style>
  <w:style w:type="paragraph" w:customStyle="1" w:styleId="54">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55">
    <w:name w:val="题注4"/>
    <w:basedOn w:val="1"/>
    <w:next w:val="14"/>
    <w:qFormat/>
    <w:uiPriority w:val="0"/>
    <w:pPr>
      <w:spacing w:line="360" w:lineRule="exact"/>
    </w:pPr>
    <w:rPr>
      <w:rFonts w:ascii="宋体"/>
      <w:b/>
      <w:bCs/>
      <w:sz w:val="24"/>
    </w:rPr>
  </w:style>
  <w:style w:type="paragraph" w:customStyle="1" w:styleId="56">
    <w:name w:val="Char Char Char Char Char Char Char Char Char Char"/>
    <w:basedOn w:val="1"/>
    <w:qFormat/>
    <w:uiPriority w:val="0"/>
    <w:pPr>
      <w:adjustRightInd w:val="0"/>
      <w:spacing w:line="360" w:lineRule="auto"/>
    </w:pPr>
    <w:rPr>
      <w:szCs w:val="20"/>
    </w:rPr>
  </w:style>
  <w:style w:type="paragraph" w:customStyle="1" w:styleId="57">
    <w:name w:val="列出段落1"/>
    <w:basedOn w:val="1"/>
    <w:qFormat/>
    <w:uiPriority w:val="7"/>
    <w:pPr>
      <w:ind w:firstLine="420"/>
    </w:pPr>
    <w:rPr>
      <w:rFonts w:cs="Calibri"/>
      <w:color w:val="000000"/>
      <w:kern w:val="1"/>
      <w:szCs w:val="22"/>
    </w:rPr>
  </w:style>
  <w:style w:type="paragraph" w:customStyle="1" w:styleId="58">
    <w:name w:val="ptdl"/>
    <w:basedOn w:val="1"/>
    <w:qFormat/>
    <w:uiPriority w:val="0"/>
    <w:pPr>
      <w:spacing w:after="156"/>
      <w:ind w:firstLine="480"/>
    </w:pPr>
    <w:rPr>
      <w:sz w:val="24"/>
    </w:rPr>
  </w:style>
  <w:style w:type="paragraph" w:styleId="5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0">
    <w:name w:val="Char"/>
    <w:basedOn w:val="1"/>
    <w:qFormat/>
    <w:uiPriority w:val="0"/>
    <w:rPr>
      <w:szCs w:val="20"/>
    </w:rPr>
  </w:style>
  <w:style w:type="paragraph" w:customStyle="1" w:styleId="61">
    <w:name w:val="样式1"/>
    <w:basedOn w:val="3"/>
    <w:qFormat/>
    <w:uiPriority w:val="0"/>
    <w:pPr>
      <w:spacing w:line="0" w:lineRule="atLeast"/>
    </w:pPr>
    <w:rPr>
      <w:b w:val="0"/>
    </w:rPr>
  </w:style>
  <w:style w:type="paragraph" w:styleId="62">
    <w:name w:val="List Paragraph"/>
    <w:basedOn w:val="1"/>
    <w:qFormat/>
    <w:uiPriority w:val="0"/>
    <w:pPr>
      <w:ind w:firstLine="420" w:firstLineChars="200"/>
    </w:pPr>
    <w:rPr>
      <w:szCs w:val="22"/>
    </w:rPr>
  </w:style>
  <w:style w:type="paragraph" w:customStyle="1" w:styleId="6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4">
    <w:name w:val="Char Char1 Char Char Char"/>
    <w:basedOn w:val="1"/>
    <w:qFormat/>
    <w:uiPriority w:val="0"/>
    <w:rPr>
      <w:kern w:val="0"/>
      <w:sz w:val="20"/>
      <w:szCs w:val="20"/>
    </w:rPr>
  </w:style>
  <w:style w:type="paragraph" w:customStyle="1" w:styleId="65">
    <w:name w:val="Char1 Char Char Char Char Char Char Char Char1 Char Char"/>
    <w:basedOn w:val="1"/>
    <w:qFormat/>
    <w:uiPriority w:val="0"/>
    <w:rPr>
      <w:b/>
      <w:bCs/>
      <w:sz w:val="36"/>
      <w:szCs w:val="32"/>
    </w:rPr>
  </w:style>
  <w:style w:type="paragraph" w:customStyle="1" w:styleId="66">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67">
    <w:name w:val="xl30"/>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68">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6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0">
    <w:name w:val="Char1 Char Char Char Char Char Char Char Char1"/>
    <w:basedOn w:val="1"/>
    <w:qFormat/>
    <w:uiPriority w:val="0"/>
    <w:rPr>
      <w:b/>
      <w:bCs/>
      <w:sz w:val="36"/>
      <w:szCs w:val="32"/>
    </w:rPr>
  </w:style>
  <w:style w:type="paragraph" w:customStyle="1" w:styleId="71">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72">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Char Char Char Char Char Char Char1"/>
    <w:basedOn w:val="1"/>
    <w:qFormat/>
    <w:uiPriority w:val="0"/>
    <w:pPr>
      <w:adjustRightInd w:val="0"/>
      <w:spacing w:line="360" w:lineRule="auto"/>
    </w:pPr>
    <w:rPr>
      <w:kern w:val="0"/>
      <w:sz w:val="24"/>
      <w:szCs w:val="20"/>
    </w:rPr>
  </w:style>
  <w:style w:type="paragraph" w:customStyle="1" w:styleId="74">
    <w:name w:val="样式3"/>
    <w:basedOn w:val="19"/>
    <w:qFormat/>
    <w:uiPriority w:val="0"/>
    <w:pPr>
      <w:spacing w:line="0" w:lineRule="atLeast"/>
      <w:outlineLvl w:val="0"/>
    </w:pPr>
    <w:rPr>
      <w:sz w:val="28"/>
    </w:rPr>
  </w:style>
  <w:style w:type="paragraph" w:customStyle="1" w:styleId="75">
    <w:name w:val="列出段落11"/>
    <w:basedOn w:val="1"/>
    <w:qFormat/>
    <w:uiPriority w:val="34"/>
    <w:pPr>
      <w:ind w:firstLine="420" w:firstLineChars="200"/>
    </w:pPr>
  </w:style>
  <w:style w:type="paragraph" w:customStyle="1" w:styleId="76">
    <w:name w:val="潘"/>
    <w:basedOn w:val="1"/>
    <w:qFormat/>
    <w:uiPriority w:val="0"/>
    <w:pPr>
      <w:snapToGrid w:val="0"/>
      <w:spacing w:line="240" w:lineRule="atLeast"/>
    </w:pPr>
    <w:rPr>
      <w:rFonts w:ascii="Arial" w:hAnsi="Arial" w:eastAsia="楷体_GB2312"/>
      <w:b/>
      <w:bCs/>
    </w:rPr>
  </w:style>
  <w:style w:type="paragraph" w:customStyle="1" w:styleId="77">
    <w:name w:val="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52DBC-8DA9-4391-B3F1-D0D370E2D69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55</Pages>
  <Words>6331</Words>
  <Characters>36089</Characters>
  <Lines>300</Lines>
  <Paragraphs>84</Paragraphs>
  <TotalTime>3</TotalTime>
  <ScaleCrop>false</ScaleCrop>
  <LinksUpToDate>false</LinksUpToDate>
  <CharactersWithSpaces>42336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2019-06-26T01:23:00Z</dcterms:created>
  <dc:creator>yanjun</dc:creator>
  <cp:lastModifiedBy>Administrator</cp:lastModifiedBy>
  <cp:lastPrinted>2019-01-14T00:38:00Z</cp:lastPrinted>
  <dcterms:modified xsi:type="dcterms:W3CDTF">2020-10-30T09:46:51Z</dcterms:modified>
  <dc:title>政府采购招标文件 (2006版) （修改1稿）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