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精密测量实训室设备采购项目</w:t>
      </w:r>
    </w:p>
    <w:p>
      <w:pPr>
        <w:spacing w:line="360" w:lineRule="auto"/>
        <w:rPr>
          <w:rFonts w:hint="eastAsia" w:ascii="宋体" w:hAnsi="宋体"/>
          <w:color w:val="FF0000"/>
          <w:sz w:val="28"/>
          <w:szCs w:val="28"/>
        </w:rPr>
      </w:pPr>
    </w:p>
    <w:p>
      <w:pPr>
        <w:spacing w:line="400" w:lineRule="exact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一、项目概况</w:t>
      </w:r>
    </w:p>
    <w:p>
      <w:pPr>
        <w:pStyle w:val="6"/>
        <w:widowControl/>
        <w:spacing w:line="400" w:lineRule="atLeast"/>
        <w:ind w:right="147" w:firstLine="480" w:firstLineChars="200"/>
        <w:jc w:val="both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kern w:val="2"/>
        </w:rPr>
        <w:t>为更好地实施《福建省示范性现代职业院校建设工程》项目建设任务，进一步提高人才培养质量做好教学工作，立足长远，以实体为依托，打造服务教学、融合校企合作，满足技术服务、技能竞赛基地为一体的实习实训基地。同时，通过项目建设推动实训基地的建设发展，促进职业教育实训基地的建设与完善。</w:t>
      </w:r>
    </w:p>
    <w:p>
      <w:pPr>
        <w:spacing w:line="400" w:lineRule="exact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二、实训设备采购的必要性</w:t>
      </w:r>
    </w:p>
    <w:p>
      <w:pPr>
        <w:pStyle w:val="6"/>
        <w:widowControl/>
        <w:spacing w:line="400" w:lineRule="exact"/>
        <w:ind w:firstLine="480" w:firstLineChars="2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kern w:val="2"/>
        </w:rPr>
        <w:t>为了加强与行业企业技术要求、工艺流程、管理规范、设备水平同步的实训装备建设，达到教育部发布的专业仪器设备装备规范。推进校企共建的示范性实训基地建设，通过校企合作、引企入校等方式，校企共建兼具生产、教学和研发功能的实训基地，依托重点专业（群）共建创新创业教育实践平台、产品开发机构等，切实增强职业院校技术技能积累能力和学生就业创业能力。</w:t>
      </w:r>
    </w:p>
    <w:p>
      <w:pPr>
        <w:spacing w:line="400" w:lineRule="exact"/>
        <w:ind w:firstLine="480" w:firstLineChars="2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为了促进职业教育实训基地的建设与完善，促进数控技术和机电一体化技术专业的教学改革，本着“立足当前、兼顾发展”的原则和资金的情况，拟对该项目进行建设。</w:t>
      </w:r>
    </w:p>
    <w:p>
      <w:pPr>
        <w:ind w:firstLine="480" w:firstLineChars="200"/>
        <w:jc w:val="center"/>
        <w:rPr>
          <w:rFonts w:ascii="宋体" w:hAnsi="宋体"/>
          <w:color w:val="000000"/>
          <w:sz w:val="24"/>
        </w:rPr>
      </w:pPr>
    </w:p>
    <w:p>
      <w:pPr>
        <w:spacing w:line="400" w:lineRule="exact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三、罗列新设备对应课程及实训项目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2221"/>
        <w:gridCol w:w="4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专业</w:t>
            </w:r>
          </w:p>
        </w:tc>
        <w:tc>
          <w:tcPr>
            <w:tcW w:w="222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课程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实训项目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数控技术、机电一体化</w:t>
            </w:r>
          </w:p>
        </w:tc>
        <w:tc>
          <w:tcPr>
            <w:tcW w:w="2221" w:type="dxa"/>
            <w:vMerge w:val="restart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《公差测量与配合技术》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（1）</w:t>
            </w:r>
            <w:r>
              <w:rPr>
                <w:rFonts w:ascii="宋体" w:hAnsi="宋体"/>
                <w:sz w:val="24"/>
              </w:rPr>
              <w:t>孔、轴的测量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2221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（2）</w:t>
            </w:r>
            <w:r>
              <w:rPr>
                <w:rFonts w:ascii="宋体" w:hAnsi="宋体"/>
                <w:sz w:val="24"/>
              </w:rPr>
              <w:t>形状和位置误差的测量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2221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（3）</w:t>
            </w:r>
            <w:r>
              <w:rPr>
                <w:rFonts w:ascii="宋体" w:hAnsi="宋体"/>
                <w:sz w:val="24"/>
              </w:rPr>
              <w:t>表面粗糙度的测量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2221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（4）</w:t>
            </w:r>
            <w:r>
              <w:rPr>
                <w:rFonts w:ascii="宋体" w:hAnsi="宋体"/>
                <w:sz w:val="24"/>
              </w:rPr>
              <w:t>角度的测量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2221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（5）</w:t>
            </w:r>
            <w:r>
              <w:rPr>
                <w:rFonts w:ascii="宋体" w:hAnsi="宋体"/>
                <w:sz w:val="24"/>
              </w:rPr>
              <w:t>螺纹的测量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2221" w:type="dxa"/>
            <w:vMerge w:val="continue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（6）</w:t>
            </w:r>
            <w:r>
              <w:rPr>
                <w:rFonts w:ascii="宋体" w:hAnsi="宋体"/>
                <w:sz w:val="24"/>
              </w:rPr>
              <w:t>齿轮的测量</w:t>
            </w:r>
            <w:r>
              <w:rPr>
                <w:rFonts w:hint="eastAsia" w:ascii="宋体" w:hAnsi="宋体"/>
                <w:sz w:val="24"/>
              </w:rPr>
              <w:t>等相关的实训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技能竞赛</w:t>
            </w:r>
          </w:p>
        </w:tc>
        <w:tc>
          <w:tcPr>
            <w:tcW w:w="2221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技能竞赛训练加工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复杂部件造型数控多轴加工技术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21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工业产品数字化设计与制造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21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模具数字化设计与制造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21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数控铣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21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6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数控综合加工</w:t>
            </w:r>
          </w:p>
        </w:tc>
      </w:tr>
    </w:tbl>
    <w:p>
      <w:pPr>
        <w:spacing w:line="400" w:lineRule="exact"/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szCs w:val="21"/>
        </w:rPr>
      </w:pPr>
    </w:p>
    <w:p>
      <w:pPr>
        <w:rPr>
          <w:rFonts w:ascii="宋体" w:hAnsi="宋体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jc w:val="center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精密测量实训室设备采购项目购置清单预算</w:t>
      </w:r>
    </w:p>
    <w:tbl>
      <w:tblPr>
        <w:tblStyle w:val="7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15"/>
        <w:gridCol w:w="5666"/>
        <w:gridCol w:w="882"/>
        <w:gridCol w:w="1236"/>
        <w:gridCol w:w="1594"/>
        <w:gridCol w:w="1594"/>
        <w:gridCol w:w="10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54" w:type="pc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序号</w:t>
            </w:r>
          </w:p>
        </w:tc>
        <w:tc>
          <w:tcPr>
            <w:tcW w:w="499" w:type="pct"/>
            <w:tcBorders>
              <w:top w:val="single" w:color="auto" w:sz="12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E0E0E0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设备名称</w:t>
            </w:r>
          </w:p>
        </w:tc>
        <w:tc>
          <w:tcPr>
            <w:tcW w:w="1998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规格、型号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（主要技术参数）</w:t>
            </w:r>
          </w:p>
        </w:tc>
        <w:tc>
          <w:tcPr>
            <w:tcW w:w="311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436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aps/>
              </w:rPr>
            </w:pPr>
            <w:r>
              <w:rPr>
                <w:rFonts w:hint="eastAsia"/>
                <w:caps/>
              </w:rPr>
              <w:t>单价</w:t>
            </w:r>
          </w:p>
          <w:p>
            <w:pPr>
              <w:tabs>
                <w:tab w:val="left" w:pos="6840"/>
              </w:tabs>
              <w:jc w:val="center"/>
              <w:rPr>
                <w:rFonts w:hint="eastAsia"/>
                <w:caps/>
              </w:rPr>
            </w:pPr>
            <w:r>
              <w:rPr>
                <w:rFonts w:hint="eastAsia"/>
                <w:caps/>
              </w:rPr>
              <w:t>（元）</w:t>
            </w:r>
          </w:p>
        </w:tc>
        <w:tc>
          <w:tcPr>
            <w:tcW w:w="562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aps/>
              </w:rPr>
            </w:pPr>
            <w:r>
              <w:rPr>
                <w:rFonts w:hint="eastAsia"/>
                <w:caps/>
              </w:rPr>
              <w:t>单价来源</w:t>
            </w:r>
          </w:p>
        </w:tc>
        <w:tc>
          <w:tcPr>
            <w:tcW w:w="562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aps/>
              </w:rPr>
            </w:pPr>
            <w:r>
              <w:rPr>
                <w:rFonts w:hint="eastAsia"/>
                <w:caps/>
              </w:rPr>
              <w:t>金额</w:t>
            </w:r>
          </w:p>
          <w:p>
            <w:pPr>
              <w:tabs>
                <w:tab w:val="left" w:pos="6840"/>
              </w:tabs>
              <w:jc w:val="center"/>
              <w:rPr>
                <w:rFonts w:hint="eastAsia"/>
                <w:caps/>
              </w:rPr>
            </w:pPr>
            <w:r>
              <w:rPr>
                <w:rFonts w:hint="eastAsia"/>
                <w:caps/>
              </w:rPr>
              <w:t>（元）</w:t>
            </w:r>
          </w:p>
        </w:tc>
        <w:tc>
          <w:tcPr>
            <w:tcW w:w="374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E0E0E0"/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aps/>
              </w:rPr>
            </w:pPr>
            <w:r>
              <w:rPr>
                <w:rFonts w:hint="eastAsia"/>
                <w:caps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499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在线检测量具</w:t>
            </w:r>
          </w:p>
        </w:tc>
        <w:tc>
          <w:tcPr>
            <w:tcW w:w="1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祥细参数附后</w:t>
            </w:r>
          </w:p>
        </w:tc>
        <w:tc>
          <w:tcPr>
            <w:tcW w:w="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cs="Arial"/>
                <w:color w:val="000000"/>
                <w:szCs w:val="21"/>
              </w:rPr>
            </w:pPr>
            <w:r>
              <w:rPr>
                <w:rFonts w:hint="eastAsia" w:ascii="宋体" w:cs="Arial"/>
                <w:color w:val="000000"/>
                <w:szCs w:val="21"/>
              </w:rPr>
              <w:t>1批</w:t>
            </w: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</w:rPr>
              <w:t>623034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厂家报价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</w:rPr>
              <w:t>623034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olor w:val="FF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99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1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cs="Arial"/>
                <w:color w:val="000000"/>
                <w:szCs w:val="21"/>
              </w:rPr>
            </w:pP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it-IT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/>
                <w:lang w:val="it-IT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/>
                <w:lang w:val="it-IT"/>
              </w:rPr>
            </w:pP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olor w:val="FF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99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1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cs="Arial"/>
                <w:color w:val="000000"/>
                <w:sz w:val="24"/>
              </w:rPr>
            </w:pP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olor w:val="FF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99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1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cs="Arial"/>
                <w:color w:val="000000"/>
                <w:sz w:val="24"/>
              </w:rPr>
            </w:pP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olor w:val="FF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99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1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cs="Arial"/>
                <w:color w:val="000000"/>
                <w:sz w:val="24"/>
              </w:rPr>
            </w:pP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olor w:val="FF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99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1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cs="Arial"/>
                <w:color w:val="000000"/>
                <w:sz w:val="24"/>
              </w:rPr>
            </w:pP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olor w:val="FF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54" w:type="pct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99" w:type="pct"/>
            <w:tcBorders>
              <w:top w:val="single" w:color="auto" w:sz="4" w:space="0"/>
              <w:left w:val="nil"/>
              <w:bottom w:val="single" w:color="auto" w:sz="12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1998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311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436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rFonts w:hint="eastAsia"/>
                <w:color w:val="000000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合计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840"/>
              </w:tabs>
              <w:jc w:val="center"/>
              <w:rPr>
                <w:color w:val="000000"/>
              </w:rPr>
            </w:pPr>
            <w:r>
              <w:rPr>
                <w:rFonts w:hint="eastAsia"/>
              </w:rPr>
              <w:t>623034</w:t>
            </w:r>
          </w:p>
        </w:tc>
        <w:tc>
          <w:tcPr>
            <w:tcW w:w="374" w:type="pct"/>
            <w:tcBorders>
              <w:top w:val="single" w:color="auto" w:sz="4" w:space="0"/>
              <w:left w:val="nil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</w:tbl>
    <w:p>
      <w:pPr>
        <w:tabs>
          <w:tab w:val="left" w:pos="9555"/>
        </w:tabs>
        <w:rPr>
          <w:rFonts w:hint="eastAsia" w:ascii="宋体" w:hAnsi="宋体"/>
          <w:color w:val="FF0000"/>
          <w:sz w:val="24"/>
        </w:rPr>
      </w:pPr>
    </w:p>
    <w:p>
      <w:pPr>
        <w:tabs>
          <w:tab w:val="left" w:pos="9555"/>
        </w:tabs>
        <w:rPr>
          <w:rFonts w:hint="eastAsia" w:ascii="宋体" w:hAnsi="宋体"/>
          <w:color w:val="FF0000"/>
          <w:sz w:val="24"/>
        </w:rPr>
      </w:pPr>
    </w:p>
    <w:p>
      <w:pPr>
        <w:rPr>
          <w:rFonts w:hint="eastAsia"/>
          <w:b/>
          <w:color w:val="FF0000"/>
          <w:sz w:val="24"/>
        </w:rPr>
        <w:sectPr>
          <w:pgSz w:w="16838" w:h="11906" w:orient="landscape"/>
          <w:pgMar w:top="1797" w:right="1440" w:bottom="1797" w:left="1440" w:header="851" w:footer="992" w:gutter="0"/>
          <w:cols w:space="720" w:num="1"/>
          <w:docGrid w:type="lines" w:linePitch="312" w:charSpace="0"/>
        </w:sectPr>
      </w:pPr>
    </w:p>
    <w:p>
      <w:pPr>
        <w:widowControl/>
        <w:spacing w:line="360" w:lineRule="auto"/>
        <w:jc w:val="center"/>
        <w:rPr>
          <w:rFonts w:hint="eastAsia" w:ascii="宋体" w:hAnsi="宋体"/>
          <w:b/>
          <w:bCs/>
          <w:kern w:val="0"/>
          <w:sz w:val="24"/>
        </w:rPr>
      </w:pPr>
      <w:r>
        <w:rPr>
          <w:rFonts w:hint="eastAsia" w:ascii="宋体" w:hAnsi="宋体"/>
          <w:b/>
          <w:bCs/>
          <w:kern w:val="0"/>
          <w:sz w:val="24"/>
        </w:rPr>
        <w:t>主要技术参数</w:t>
      </w:r>
    </w:p>
    <w:tbl>
      <w:tblPr>
        <w:tblStyle w:val="7"/>
        <w:tblW w:w="4950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01"/>
        <w:gridCol w:w="240"/>
        <w:gridCol w:w="240"/>
        <w:gridCol w:w="4980"/>
        <w:gridCol w:w="641"/>
        <w:gridCol w:w="64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设备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数量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单位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技术要求</w:t>
            </w:r>
          </w:p>
        </w:tc>
        <w:tc>
          <w:tcPr>
            <w:tcW w:w="529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单价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总额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数显卡尺R</w:t>
            </w:r>
            <w:r>
              <w:rPr>
                <w:rFonts w:ascii="宋体" w:hAnsi="宋体" w:cs="宋体"/>
                <w:kern w:val="0"/>
                <w:sz w:val="24"/>
              </w:rPr>
              <w:t>D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1）可连无线传输模块，蓝牙信号，传输距离8m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2）测量范围：0-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150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mm（R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D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防水等级：I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67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3）分辨率: 0.01mm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4) 最大允许误差: ±0.03mm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 按键: 开/关, 置零, 公/英制转换，数据采集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6) 自动关机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7) CR2032电池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8) 不锈钢尺身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9）单颗电池待机12000小时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10）数据可以通过可连无线传输到Q-DAS质量控制分析系统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710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3420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1）可连无线传输模块，蓝牙信号，传输距离8m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2）测量范围：0-200mm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3）分辨率: 0.01mm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4) 最大允许误差: ±0.03mm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 按键: 开/关, 置零, 公/英制转换，数据采集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6) 自动关机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7) CR2032电池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8) 不锈钢尺身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9）单颗电池待机12000小时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10）数据可以通过可连无线传输到Q-DAS质量控制分析系统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drawing>
                <wp:inline distT="0" distB="0" distL="114300" distR="114300">
                  <wp:extent cx="2626995" cy="945515"/>
                  <wp:effectExtent l="0" t="0" r="1905" b="6985"/>
                  <wp:docPr id="10" name="图片 4" descr="图片包含 游戏机, 钟表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图片包含 游戏机, 钟表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</w:rPr>
              <w:t>2607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5214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1）测量范围：0-200mm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 xml:space="preserve"> 2）读数（分辨率）0.01mm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 xml:space="preserve"> 3）精度±0.02mm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4）材质：不锈钢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5）爪长：50mm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bookmarkStart w:id="0" w:name="_GoBack"/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434975</wp:posOffset>
                  </wp:positionV>
                  <wp:extent cx="2625725" cy="997585"/>
                  <wp:effectExtent l="0" t="0" r="3175" b="12065"/>
                  <wp:wrapSquare wrapText="bothSides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6）数据可传输到Q-DAS质量控制分析系统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460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920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1）测量范围0-300mm,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 xml:space="preserve"> 2）读数（分辨率）0.01mm，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 xml:space="preserve"> 3）精度±0.03mm，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 xml:space="preserve"> 4）材质：不锈钢 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5）爪长：64mm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240030</wp:posOffset>
                  </wp:positionV>
                  <wp:extent cx="2625725" cy="997585"/>
                  <wp:effectExtent l="0" t="0" r="3175" b="12065"/>
                  <wp:wrapSquare wrapText="bothSides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6）数据可传输到Q-DAS质量控制分析系统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770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1540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带表卡尺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1）测量范围0-200mm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 xml:space="preserve"> 2）读数（分辨率）0.02mm 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3）精度±0.03mm，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 xml:space="preserve">4）材质：不锈钢 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5）爪长：50mm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drawing>
                <wp:inline distT="0" distB="0" distL="114300" distR="114300">
                  <wp:extent cx="2625090" cy="885825"/>
                  <wp:effectExtent l="0" t="0" r="3810" b="952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36850" b="52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460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920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内槽游标卡尺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1）测量范围10-160mm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2）读数（分辨率）0.02mm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3）精度±0.04mm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4）材质：不锈钢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5）爪长：25mm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480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960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中心距/边心距游标卡尺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1）测量范围10-300mm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2）读数（分辨率）0.1mm,精度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3）材质：不锈钢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1460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2920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卡尺测量座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适用于尺身宽度为16mm的卡尺使用，材质：不锈钢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80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160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电子外径千分尺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1）测量范围0-25mm，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610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1220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电子外径千分尺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1）测量范围25-50mm，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700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1400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机械外径千分尺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1）测量范围50-75mm，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3）精度±5μm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200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400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机械外径千分尺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1）测量范围75-100mm，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3）精度±5μm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220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440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公法线千分尺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1）测量范围75-100mm，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3）精度4μm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360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720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小尺寸电子深度卡尺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textAlignment w:val="bottom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1）测量范围0-25mm，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2）读数（分辨率）0.01mm,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3）精度μm±0.03mm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4）数据可传输到Q-DAS质量控制分析系统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lang w:val="it-IT"/>
              </w:rPr>
              <w:t>330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</w:pPr>
            <w:r>
              <w:rPr>
                <w:rFonts w:hint="eastAsia"/>
              </w:rPr>
              <w:t>660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双钩电子深度卡尺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1）测量范围0-200mm，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3）精度±0.03mm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4）材质：不锈钢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5）数据可传输到Q-DAS质量控制分析系统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640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</w:pPr>
            <w:r>
              <w:rPr>
                <w:rFonts w:hint="eastAsia"/>
              </w:rPr>
              <w:t>1280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通用电子深度卡尺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1）测量范围0-150mm，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2）读数（分辨率）0.01mm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3）精度±0.03mm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4）材质：不锈钢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5）数据可传输到Q-DAS质量控制分析系统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400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</w:pPr>
            <w:r>
              <w:rPr>
                <w:rFonts w:hint="eastAsia"/>
              </w:rPr>
              <w:t>800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数显高度卡尺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1）测量范围0-30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</w:t>
            </w:r>
          </w:p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2）读数（分辨率）0.01mm</w:t>
            </w:r>
          </w:p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3）精度±0.03mm</w:t>
            </w:r>
          </w:p>
          <w:p>
            <w:pPr>
              <w:widowControl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4）材质：不锈钢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1410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</w:pPr>
            <w:r>
              <w:rPr>
                <w:rFonts w:hint="eastAsia"/>
              </w:rPr>
              <w:t>2820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数显百分表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-75565</wp:posOffset>
                  </wp:positionV>
                  <wp:extent cx="948055" cy="2014855"/>
                  <wp:effectExtent l="0" t="0" r="4445" b="4445"/>
                  <wp:wrapSquare wrapText="bothSides"/>
                  <wp:docPr id="11" name="Picture 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1）测量范围：0-12.7mm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2）分辨率: 0.01mm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3) 最大允许误差:20μm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4)  置零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 单位转换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6) OPTO数据输出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7) 计数反向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8) 键盘锁定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9) 重置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lang w:val="it-IT"/>
              </w:rPr>
              <w:t>3</w:t>
            </w:r>
            <w:r>
              <w:rPr>
                <w:lang w:val="it-IT"/>
              </w:rPr>
              <w:t>800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</w:pPr>
            <w:r>
              <w:rPr>
                <w:rFonts w:hint="eastAsia"/>
              </w:rPr>
              <w:t>7600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5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数显千分表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把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30480</wp:posOffset>
                  </wp:positionV>
                  <wp:extent cx="852805" cy="1661160"/>
                  <wp:effectExtent l="0" t="0" r="4445" b="15240"/>
                  <wp:wrapSquare wrapText="bothSides"/>
                  <wp:docPr id="15" name="Picture 4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1）测量范围：0-12.7mm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2）分辨率: 0.001mm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3) 最大允许误差:8μm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4)  置零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 单位转换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6) OPTO数据输出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7) 计数反向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8) 键盘锁定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9) 重置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4580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</w:pPr>
            <w:r>
              <w:rPr>
                <w:rFonts w:hint="eastAsia"/>
              </w:rPr>
              <w:t>9160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测高仪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台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1622425</wp:posOffset>
                  </wp:positionH>
                  <wp:positionV relativeFrom="paragraph">
                    <wp:posOffset>35560</wp:posOffset>
                  </wp:positionV>
                  <wp:extent cx="1007745" cy="1971040"/>
                  <wp:effectExtent l="0" t="0" r="1905" b="10160"/>
                  <wp:wrapSquare wrapText="bothSides"/>
                  <wp:docPr id="16" name="Picture 2" descr="http://tesatechnology.com/images/L/BD%20photos/07_colonnes%20de%20mesure/07.30043_TH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http://tesatechnology.com/images/L/BD%20photos/07_colonnes%20de%20mesure/07.30043_TH_40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1）量程：0-415mm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2）最大扩展量程：570mm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3）最大允许误差（环境温度为20℃时）：(2.5+4L/1000)μm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4）垂直度误差（正面）：9μm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5）重复性：平面:2μm  孔内: 3μm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6）可选择分辨率：0.001mm，0.0001mm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7）测量力：一档不可调：1.5N±0.5N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8）电源：内置可充电电池，一次充电可以连续使用60小时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9）可操作温度：10℃-40℃</w:t>
            </w:r>
          </w:p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10）可手动快速移动测头</w:t>
            </w:r>
          </w:p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11）控制器带触摸按键</w:t>
            </w:r>
          </w:p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12）附带的SCS校准证书</w:t>
            </w:r>
          </w:p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13）数据可以通过数据线传输到Q-DAS质量控制分析系统</w:t>
            </w:r>
          </w:p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）包含特殊附件组、14mm直径盘形测头和数据线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68280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val="it-IT"/>
              </w:rPr>
            </w:pPr>
            <w:r>
              <w:rPr>
                <w:lang w:val="it-IT"/>
              </w:rPr>
              <w:t>68280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数据线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数据连接线;一端连带TLC接口的量具,另一端USB口连计算机;2m长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475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2950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数据线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数据连接线;一端连量具光藕接口,另一端USB口连计算机;2m长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lang w:val="it-IT"/>
              </w:rPr>
              <w:t>2</w:t>
            </w:r>
            <w:r>
              <w:rPr>
                <w:lang w:val="it-IT"/>
              </w:rPr>
              <w:t>261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4522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量具量仪实训平台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量具测量公差台，包含量具操作平台（量具集成工作站、系统搭建等）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Dell/HP工作站主机+24寸显示器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Style w:val="9"/>
              </w:rPr>
              <w:t>量具工作台+大理石平台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lang w:val="it-IT"/>
              </w:rPr>
              <w:t>20190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val="it-IT"/>
              </w:rPr>
            </w:pPr>
            <w:r>
              <w:rPr>
                <w:lang w:val="it-IT"/>
              </w:rPr>
              <w:t>20190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测量范围0-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30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5)防水等级IP54;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7）30mm大屏幕，电池使用寿命3年。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drawing>
                <wp:inline distT="0" distB="0" distL="114300" distR="114300">
                  <wp:extent cx="1880870" cy="827405"/>
                  <wp:effectExtent l="0" t="0" r="5080" b="10795"/>
                  <wp:docPr id="9" name="图片 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3</w:t>
            </w:r>
            <w:r>
              <w:rPr>
                <w:lang w:val="it-IT"/>
              </w:rPr>
              <w:t>899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3</w:t>
            </w:r>
            <w:r>
              <w:rPr>
                <w:lang w:val="it-IT"/>
              </w:rPr>
              <w:t>899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测量范围2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50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5)防水等级IP54;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7）30mm大屏幕，电池使用寿命3年。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4</w:t>
            </w:r>
            <w:r>
              <w:rPr>
                <w:lang w:val="it-IT"/>
              </w:rPr>
              <w:t>953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4</w:t>
            </w:r>
            <w:r>
              <w:rPr>
                <w:lang w:val="it-IT"/>
              </w:rPr>
              <w:t>953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测量范围5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75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5)防水等级IP54;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7）30mm大屏幕，电池使用寿命3年。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5</w:t>
            </w:r>
            <w:r>
              <w:rPr>
                <w:lang w:val="it-IT"/>
              </w:rPr>
              <w:t>873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5</w:t>
            </w:r>
            <w:r>
              <w:rPr>
                <w:lang w:val="it-IT"/>
              </w:rPr>
              <w:t>873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测量范围7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100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5)防水等级IP54;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7）30mm大屏幕，电池使用寿命3年。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7</w:t>
            </w:r>
            <w:r>
              <w:rPr>
                <w:lang w:val="it-IT"/>
              </w:rPr>
              <w:t>152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7</w:t>
            </w:r>
            <w:r>
              <w:rPr>
                <w:lang w:val="it-IT"/>
              </w:rPr>
              <w:t>152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测量范围1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125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5)防水等级IP54;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7）30mm大屏幕，电池使用寿命3年。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9</w:t>
            </w:r>
            <w:r>
              <w:rPr>
                <w:lang w:val="it-IT"/>
              </w:rPr>
              <w:t>227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9</w:t>
            </w:r>
            <w:r>
              <w:rPr>
                <w:lang w:val="it-IT"/>
              </w:rPr>
              <w:t>227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数显外径千分尺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测量范围1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25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150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5)防水等级IP54;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7）30mm大屏幕，电池使用寿命3年。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9</w:t>
            </w:r>
            <w:r>
              <w:rPr>
                <w:lang w:val="it-IT"/>
              </w:rPr>
              <w:t>397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9</w:t>
            </w:r>
            <w:r>
              <w:rPr>
                <w:lang w:val="it-IT"/>
              </w:rPr>
              <w:t>397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内径千分尺套装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测量范围：20-40mm；采用螺旋锥体；每一把尺可独立完成测量，具备自定中心和自找正功能。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2443480" cy="1458595"/>
                  <wp:effectExtent l="0" t="0" r="13970" b="8255"/>
                  <wp:docPr id="17" name="图片 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2</w:t>
            </w:r>
            <w:r>
              <w:rPr>
                <w:lang w:val="it-IT"/>
              </w:rPr>
              <w:t>2000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2</w:t>
            </w:r>
            <w:r>
              <w:rPr>
                <w:lang w:val="it-IT"/>
              </w:rPr>
              <w:t>2000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公法线千分尺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0-30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防水等级I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P54;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6）30mm大屏幕，电池使用寿命3年。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1752600" cy="673735"/>
                  <wp:effectExtent l="0" t="0" r="0" b="12065"/>
                  <wp:docPr id="18" name="图片 8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8000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8000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公法线千分尺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1）测量范围2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5-55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防水等级I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P54;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6）30mm大屏幕，电池使用寿命3年。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8624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8624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公法线千分尺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1）测量范围5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5-85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防水等级I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P54;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6）30mm大屏幕，电池使用寿命3年。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9220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9220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公法线千分尺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1）测量范围8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5-115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2）读数（分辨率）0.001mm,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3）精度±2μm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4）数据可传输到Q-DAS质量控制分析系统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防水等级I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P54;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6）30mm大屏幕，电池使用寿命3年。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9869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1</w:t>
            </w:r>
            <w:r>
              <w:rPr>
                <w:lang w:val="it-IT"/>
              </w:rPr>
              <w:t>9869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数显三爪内径千分尺套装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测量范围：3.5-100mm套装；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采用螺旋锥体；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防水等级I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P54;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可连接无线传输，每一把尺可独立完成测量；具备自定中心和自找正功能。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drawing>
                <wp:inline distT="0" distB="0" distL="114300" distR="114300">
                  <wp:extent cx="2567940" cy="1685290"/>
                  <wp:effectExtent l="0" t="0" r="3810" b="10160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3</w:t>
            </w:r>
            <w:r>
              <w:rPr>
                <w:lang w:val="it-IT"/>
              </w:rPr>
              <w:t>07266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3</w:t>
            </w:r>
            <w:r>
              <w:rPr>
                <w:lang w:val="it-IT"/>
              </w:rPr>
              <w:t>07266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深度卡尺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1）可连无线传输模块，蓝牙信号，传输距离8m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2）测量范围：0-200mm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防水等级：I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67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3）分辨率: 0.01mm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4) 最大允许误差: ±0.03mm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5) 按键: 开/关, 置零, 公/英制转换，数据采集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6) 自动关机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7) CR2032电池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8) 不锈钢尺身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9）单颗电池待机12000小时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drawing>
                <wp:inline distT="0" distB="0" distL="114300" distR="114300">
                  <wp:extent cx="2460625" cy="843915"/>
                  <wp:effectExtent l="0" t="0" r="15875" b="13335"/>
                  <wp:docPr id="12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5</w:t>
            </w:r>
            <w:r>
              <w:rPr>
                <w:lang w:val="it-IT"/>
              </w:rPr>
              <w:t>108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lang w:val="it-IT"/>
              </w:rPr>
            </w:pPr>
            <w:r>
              <w:rPr>
                <w:rFonts w:hint="eastAsia"/>
                <w:lang w:val="it-IT"/>
              </w:rPr>
              <w:t>5</w:t>
            </w:r>
            <w:r>
              <w:rPr>
                <w:lang w:val="it-IT"/>
              </w:rPr>
              <w:t>108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数据采集与过程控制系统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2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O-QIS是用于可视化、评估试验和处理数据的工具。生成这种数据的方法多种多样。O-QIS通过提供不同的模块为各自的任务提供了完美的解决方案。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评估和接受测量系统的单次测量结果数据</w:t>
            </w:r>
          </w:p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实时可视化监控功能，软件实时记录测量数据，并更新警报状态，根据违反SPC标准的类型，显示相应的颜色，简洁直观。</w:t>
            </w:r>
          </w:p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3129280" cy="1937385"/>
                  <wp:effectExtent l="0" t="0" r="13970" b="5715"/>
                  <wp:docPr id="1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924" t="3133" r="1247" b="2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/>
                <w:lang w:val="it-IT"/>
              </w:rPr>
            </w:pPr>
            <w:r>
              <w:rPr>
                <w:lang w:val="it-IT"/>
              </w:rPr>
              <w:t>33950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/>
                <w:lang w:val="it-IT"/>
              </w:rPr>
            </w:pPr>
            <w:r>
              <w:rPr>
                <w:lang w:val="it-IT"/>
              </w:rPr>
              <w:t>33950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447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</w:pPr>
            <w:r>
              <w:rPr>
                <w:rFonts w:hint="eastAsia"/>
              </w:rPr>
              <w:t>623034</w:t>
            </w:r>
          </w:p>
        </w:tc>
      </w:tr>
    </w:tbl>
    <w:p>
      <w:pPr>
        <w:widowControl/>
        <w:spacing w:line="360" w:lineRule="auto"/>
        <w:jc w:val="center"/>
        <w:rPr>
          <w:rFonts w:ascii="宋体" w:hAnsi="宋体"/>
          <w:b/>
          <w:bCs/>
          <w:kern w:val="0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IDFont+F1">
    <w:altName w:val="Cambria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l1uVLQAAAABQEAAA8AAAAAAAAAAQAgAAAAIgAAAGRycy9kb3ducmV2LnhtbFBLAQIUABQA&#10;AAAIAIdO4kDfGHFbvwEAAIwDAAAOAAAAAAAAAAEAIAAAAB8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CC8747"/>
    <w:multiLevelType w:val="singleLevel"/>
    <w:tmpl w:val="EACC8747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0"/>
      </w:pPr>
      <w:rPr>
        <w:rFonts w:hint="eastAsia" w:ascii="仿宋" w:hAnsi="仿宋" w:eastAsia="仿宋" w:cs="仿宋"/>
        <w:b/>
        <w:bCs/>
        <w:sz w:val="30"/>
        <w:szCs w:val="30"/>
      </w:rPr>
    </w:lvl>
  </w:abstractNum>
  <w:abstractNum w:abstractNumId="1">
    <w:nsid w:val="25E4497E"/>
    <w:multiLevelType w:val="singleLevel"/>
    <w:tmpl w:val="25E4497E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 w:ascii="黑体" w:hAnsi="黑体" w:eastAsia="黑体" w:cs="黑体"/>
        <w:b/>
        <w:bCs/>
        <w:sz w:val="32"/>
        <w:szCs w:val="3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C72233"/>
    <w:rsid w:val="0EA70944"/>
    <w:rsid w:val="19BE3EC3"/>
    <w:rsid w:val="22166B9E"/>
    <w:rsid w:val="32205D93"/>
    <w:rsid w:val="3CBF2473"/>
    <w:rsid w:val="3EC72233"/>
    <w:rsid w:val="600B673F"/>
    <w:rsid w:val="63D9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50" w:beforeLines="50" w:after="50" w:afterLines="50" w:line="312" w:lineRule="auto"/>
      <w:ind w:firstLineChars="0"/>
      <w:outlineLvl w:val="0"/>
    </w:pPr>
    <w:rPr>
      <w:rFonts w:ascii="黑体" w:hAnsi="黑体" w:eastAsia="黑体" w:cs="Times New Roman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tabs>
        <w:tab w:val="left" w:pos="0"/>
      </w:tabs>
      <w:spacing w:before="50" w:beforeLines="50" w:line="312" w:lineRule="auto"/>
      <w:outlineLvl w:val="1"/>
    </w:pPr>
    <w:rPr>
      <w:rFonts w:ascii="仿宋" w:hAnsi="仿宋" w:eastAsia="仿宋" w:cs="Times New Roman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12" w:lineRule="auto"/>
      <w:outlineLvl w:val="2"/>
    </w:pPr>
    <w:rPr>
      <w:rFonts w:ascii="仿宋" w:hAnsi="仿宋" w:eastAsia="仿宋" w:cs="Times New Roman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fontstyle01"/>
    <w:basedOn w:val="8"/>
    <w:uiPriority w:val="0"/>
    <w:rPr>
      <w:rFonts w:hint="default" w:ascii="CIDFont+F1" w:hAnsi="CIDFont+F1"/>
      <w:color w:val="00000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2020-11-13T08:25:00Z</dcterms:created>
  <dc:creator>linqq</dc:creator>
  <cp:lastModifiedBy>linqq</cp:lastModifiedBy>
  <dcterms:modified xsi:type="dcterms:W3CDTF">2020-11-13T08:30:27Z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