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b/>
          <w:color w:val="auto"/>
          <w:sz w:val="28"/>
          <w:szCs w:val="28"/>
          <w:highlight w:val="none"/>
        </w:rPr>
      </w:pPr>
      <w:bookmarkStart w:id="0" w:name="_Toc26627"/>
      <w:r>
        <w:rPr>
          <w:rFonts w:hint="eastAsia" w:ascii="宋体" w:hAnsi="宋体" w:cs="宋体"/>
          <w:b/>
          <w:color w:val="auto"/>
          <w:sz w:val="28"/>
          <w:szCs w:val="28"/>
          <w:highlight w:val="none"/>
        </w:rPr>
        <w:t>本文件已经我单位审核，请按此文件发布!</w:t>
      </w:r>
    </w:p>
    <w:p>
      <w:pPr>
        <w:spacing w:line="360" w:lineRule="auto"/>
        <w:ind w:firstLine="4337" w:firstLineChars="1543"/>
        <w:rPr>
          <w:rFonts w:ascii="宋体" w:hAnsi="宋体" w:cs="宋体"/>
          <w:b/>
          <w:bCs/>
          <w:color w:val="auto"/>
          <w:sz w:val="28"/>
          <w:szCs w:val="28"/>
          <w:highlight w:val="none"/>
        </w:rPr>
      </w:pPr>
      <w:r>
        <w:rPr>
          <w:rFonts w:hint="eastAsia" w:ascii="宋体" w:hAnsi="宋体" w:cs="宋体"/>
          <w:b/>
          <w:bCs/>
          <w:color w:val="auto"/>
          <w:sz w:val="28"/>
          <w:szCs w:val="28"/>
          <w:highlight w:val="none"/>
        </w:rPr>
        <w:t>盖章：</w:t>
      </w:r>
    </w:p>
    <w:p>
      <w:pPr>
        <w:wordWrap w:val="0"/>
        <w:adjustRightInd w:val="0"/>
        <w:ind w:right="600"/>
        <w:rPr>
          <w:rFonts w:ascii="宋体" w:hAnsi="宋体" w:cs="宋体"/>
          <w:b/>
          <w:bCs/>
          <w:color w:val="auto"/>
          <w:sz w:val="28"/>
          <w:szCs w:val="28"/>
          <w:highlight w:val="none"/>
        </w:rPr>
      </w:pPr>
    </w:p>
    <w:p>
      <w:pPr>
        <w:wordWrap w:val="0"/>
        <w:adjustRightInd w:val="0"/>
        <w:ind w:right="600"/>
        <w:rPr>
          <w:rFonts w:ascii="宋体" w:hAnsi="宋体" w:cs="宋体"/>
          <w:b/>
          <w:color w:val="auto"/>
          <w:sz w:val="72"/>
          <w:szCs w:val="72"/>
          <w:highlight w:val="none"/>
        </w:rPr>
      </w:pPr>
    </w:p>
    <w:p>
      <w:pPr>
        <w:spacing w:line="360" w:lineRule="auto"/>
        <w:ind w:firstLine="708" w:firstLineChars="98"/>
        <w:rPr>
          <w:rFonts w:ascii="宋体" w:hAnsi="宋体" w:cs="宋体"/>
          <w:b/>
          <w:color w:val="auto"/>
          <w:sz w:val="72"/>
          <w:szCs w:val="72"/>
          <w:highlight w:val="none"/>
        </w:rPr>
      </w:pPr>
    </w:p>
    <w:p>
      <w:pPr>
        <w:spacing w:line="264" w:lineRule="auto"/>
        <w:rPr>
          <w:rFonts w:ascii="宋体" w:hAnsi="宋体" w:cs="宋体"/>
          <w:b/>
          <w:color w:val="auto"/>
          <w:sz w:val="84"/>
          <w:szCs w:val="84"/>
          <w:highlight w:val="none"/>
        </w:rPr>
      </w:pPr>
      <w:r>
        <w:rPr>
          <w:rFonts w:hint="eastAsia" w:ascii="宋体" w:hAnsi="宋体" w:cs="宋体"/>
          <w:b/>
          <w:color w:val="auto"/>
          <w:sz w:val="72"/>
          <w:szCs w:val="72"/>
          <w:highlight w:val="none"/>
        </w:rPr>
        <w:t xml:space="preserve">      公开招标文件</w:t>
      </w:r>
    </w:p>
    <w:p>
      <w:pPr>
        <w:tabs>
          <w:tab w:val="left" w:pos="4008"/>
        </w:tabs>
        <w:spacing w:line="264" w:lineRule="auto"/>
        <w:rPr>
          <w:rFonts w:ascii="宋体" w:hAnsi="宋体" w:cs="宋体"/>
          <w:color w:val="auto"/>
          <w:highlight w:val="none"/>
        </w:rPr>
      </w:pPr>
    </w:p>
    <w:p>
      <w:pPr>
        <w:pStyle w:val="22"/>
        <w:ind w:left="420" w:firstLine="480"/>
        <w:rPr>
          <w:rFonts w:ascii="宋体" w:hAnsi="宋体" w:cs="宋体"/>
          <w:color w:val="auto"/>
          <w:highlight w:val="none"/>
        </w:rPr>
      </w:pPr>
    </w:p>
    <w:p>
      <w:pPr>
        <w:pStyle w:val="22"/>
        <w:ind w:left="420" w:firstLine="480"/>
        <w:rPr>
          <w:rFonts w:ascii="宋体" w:hAnsi="宋体" w:cs="宋体"/>
          <w:color w:val="auto"/>
          <w:highlight w:val="none"/>
        </w:rPr>
      </w:pPr>
    </w:p>
    <w:p>
      <w:pPr>
        <w:pStyle w:val="22"/>
        <w:ind w:left="0" w:leftChars="0" w:firstLine="0" w:firstLineChars="0"/>
        <w:rPr>
          <w:rFonts w:ascii="宋体" w:hAnsi="宋体" w:cs="宋体"/>
          <w:color w:val="auto"/>
          <w:highlight w:val="none"/>
        </w:rPr>
      </w:pPr>
    </w:p>
    <w:p>
      <w:pPr>
        <w:pStyle w:val="22"/>
        <w:ind w:left="420" w:firstLine="480"/>
        <w:rPr>
          <w:rFonts w:ascii="宋体" w:hAnsi="宋体" w:cs="宋体"/>
          <w:color w:val="auto"/>
          <w:highlight w:val="none"/>
        </w:rPr>
      </w:pPr>
    </w:p>
    <w:p>
      <w:pPr>
        <w:tabs>
          <w:tab w:val="left" w:pos="4008"/>
        </w:tabs>
        <w:spacing w:line="360" w:lineRule="auto"/>
        <w:ind w:left="0" w:leftChars="0" w:firstLine="0" w:firstLineChars="0"/>
        <w:jc w:val="center"/>
        <w:rPr>
          <w:rFonts w:hint="eastAsia" w:ascii="宋体" w:hAnsi="宋体" w:eastAsia="宋体" w:cs="宋体"/>
          <w:b/>
          <w:color w:val="auto"/>
          <w:sz w:val="32"/>
          <w:szCs w:val="28"/>
          <w:highlight w:val="none"/>
          <w:lang w:eastAsia="zh-CN"/>
        </w:rPr>
      </w:pPr>
      <w:r>
        <w:rPr>
          <w:rFonts w:hint="eastAsia" w:ascii="宋体" w:hAnsi="宋体" w:cs="宋体"/>
          <w:b/>
          <w:color w:val="auto"/>
          <w:sz w:val="32"/>
          <w:szCs w:val="28"/>
          <w:highlight w:val="none"/>
        </w:rPr>
        <w:t>招标编号：</w:t>
      </w:r>
      <w:r>
        <w:rPr>
          <w:rFonts w:hint="eastAsia" w:ascii="宋体" w:hAnsi="宋体" w:cs="宋体"/>
          <w:b/>
          <w:color w:val="auto"/>
          <w:sz w:val="32"/>
          <w:szCs w:val="28"/>
          <w:highlight w:val="none"/>
          <w:lang w:eastAsia="zh-CN"/>
        </w:rPr>
        <w:t>闽莆建融【F-2022】采招030号</w:t>
      </w:r>
    </w:p>
    <w:p>
      <w:pPr>
        <w:tabs>
          <w:tab w:val="left" w:pos="4008"/>
        </w:tabs>
        <w:spacing w:line="360" w:lineRule="auto"/>
        <w:jc w:val="center"/>
        <w:rPr>
          <w:rFonts w:hint="eastAsia" w:ascii="宋体" w:hAnsi="宋体" w:eastAsia="宋体" w:cs="宋体"/>
          <w:b/>
          <w:color w:val="auto"/>
          <w:sz w:val="32"/>
          <w:szCs w:val="28"/>
          <w:highlight w:val="none"/>
          <w:lang w:eastAsia="zh-CN"/>
        </w:rPr>
      </w:pPr>
      <w:r>
        <w:rPr>
          <w:rFonts w:hint="eastAsia" w:ascii="宋体" w:hAnsi="宋体" w:cs="宋体"/>
          <w:b/>
          <w:color w:val="auto"/>
          <w:sz w:val="32"/>
          <w:szCs w:val="28"/>
          <w:highlight w:val="none"/>
        </w:rPr>
        <w:t>项目名称：</w:t>
      </w:r>
      <w:r>
        <w:rPr>
          <w:rFonts w:hint="eastAsia" w:ascii="宋体" w:hAnsi="宋体" w:cs="宋体"/>
          <w:b/>
          <w:bCs/>
          <w:color w:val="auto"/>
          <w:sz w:val="32"/>
          <w:szCs w:val="32"/>
          <w:highlight w:val="none"/>
          <w:lang w:eastAsia="zh-CN"/>
        </w:rPr>
        <w:t>2022省级精品在线开放课程建设项目</w:t>
      </w:r>
    </w:p>
    <w:p>
      <w:pPr>
        <w:pStyle w:val="13"/>
        <w:ind w:firstLine="0" w:firstLineChars="0"/>
        <w:rPr>
          <w:rFonts w:ascii="宋体" w:hAnsi="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pStyle w:val="53"/>
        <w:ind w:firstLine="0" w:firstLineChars="0"/>
        <w:rPr>
          <w:rFonts w:ascii="宋体" w:hAnsi="宋体" w:eastAsia="宋体" w:cs="宋体"/>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28"/>
          <w:highlight w:val="none"/>
        </w:rPr>
        <w:t xml:space="preserve"> 招标人：湄洲湾职业技术学院</w:t>
      </w:r>
      <w:r>
        <w:rPr>
          <w:rFonts w:hint="eastAsia" w:ascii="宋体" w:hAnsi="宋体" w:cs="宋体"/>
          <w:b/>
          <w:color w:val="auto"/>
          <w:sz w:val="32"/>
          <w:szCs w:val="32"/>
          <w:highlight w:val="none"/>
        </w:rPr>
        <w:t>（盖章）</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招标代理机构：建融建设管理集团有限责任公司 （盖章）</w:t>
      </w:r>
    </w:p>
    <w:p>
      <w:pPr>
        <w:tabs>
          <w:tab w:val="left" w:pos="4008"/>
        </w:tabs>
        <w:spacing w:line="360" w:lineRule="auto"/>
        <w:ind w:firstLine="3534" w:firstLineChars="1100"/>
        <w:rPr>
          <w:rFonts w:ascii="宋体" w:hAnsi="宋体" w:cs="宋体"/>
          <w:b/>
          <w:color w:val="auto"/>
          <w:sz w:val="32"/>
          <w:szCs w:val="28"/>
          <w:highlight w:val="none"/>
        </w:rPr>
      </w:pPr>
      <w:r>
        <w:rPr>
          <w:rFonts w:hint="eastAsia" w:ascii="宋体" w:hAnsi="宋体" w:cs="宋体"/>
          <w:b/>
          <w:color w:val="auto"/>
          <w:sz w:val="32"/>
          <w:szCs w:val="28"/>
          <w:highlight w:val="none"/>
        </w:rPr>
        <w:t>二○二二年十</w:t>
      </w:r>
      <w:r>
        <w:rPr>
          <w:rFonts w:hint="eastAsia" w:ascii="宋体" w:hAnsi="宋体" w:cs="宋体"/>
          <w:b/>
          <w:color w:val="auto"/>
          <w:sz w:val="32"/>
          <w:szCs w:val="28"/>
          <w:highlight w:val="none"/>
          <w:lang w:val="en-US" w:eastAsia="zh-CN"/>
        </w:rPr>
        <w:t>一</w:t>
      </w:r>
      <w:r>
        <w:rPr>
          <w:rFonts w:hint="eastAsia" w:ascii="宋体" w:hAnsi="宋体" w:cs="宋体"/>
          <w:b/>
          <w:color w:val="auto"/>
          <w:sz w:val="32"/>
          <w:szCs w:val="28"/>
          <w:highlight w:val="none"/>
        </w:rPr>
        <w:t xml:space="preserve">月 </w:t>
      </w:r>
    </w:p>
    <w:p>
      <w:pPr>
        <w:rPr>
          <w:rFonts w:ascii="宋体" w:hAnsi="宋体" w:cs="宋体"/>
          <w:color w:val="auto"/>
          <w:highlight w:val="none"/>
        </w:rPr>
      </w:pPr>
      <w:r>
        <w:rPr>
          <w:rFonts w:hint="eastAsia" w:ascii="宋体" w:hAnsi="宋体" w:cs="宋体"/>
          <w:color w:val="auto"/>
          <w:highlight w:val="none"/>
        </w:rPr>
        <w:br w:type="page"/>
      </w:r>
    </w:p>
    <w:p>
      <w:pPr>
        <w:tabs>
          <w:tab w:val="left" w:pos="4008"/>
        </w:tabs>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第一章 投标邀请</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u w:val="single"/>
        </w:rPr>
        <w:t xml:space="preserve">建融建设管理集团有限责任公司 </w:t>
      </w:r>
      <w:r>
        <w:rPr>
          <w:rFonts w:hint="eastAsia" w:ascii="宋体" w:hAnsi="宋体" w:cs="宋体"/>
          <w:color w:val="auto"/>
          <w:highlight w:val="none"/>
        </w:rPr>
        <w:t>采用</w:t>
      </w:r>
      <w:r>
        <w:rPr>
          <w:rFonts w:hint="eastAsia" w:ascii="宋体" w:hAnsi="宋体" w:cs="宋体"/>
          <w:color w:val="auto"/>
          <w:highlight w:val="none"/>
          <w:u w:val="single"/>
        </w:rPr>
        <w:t>公开招标方式</w:t>
      </w:r>
      <w:r>
        <w:rPr>
          <w:rFonts w:hint="eastAsia" w:ascii="宋体" w:hAnsi="宋体" w:cs="宋体"/>
          <w:color w:val="auto"/>
          <w:highlight w:val="none"/>
        </w:rPr>
        <w:t>组织</w:t>
      </w:r>
      <w:r>
        <w:rPr>
          <w:rFonts w:hint="eastAsia" w:ascii="宋体" w:hAnsi="宋体" w:cs="宋体"/>
          <w:color w:val="auto"/>
          <w:highlight w:val="none"/>
          <w:u w:val="single"/>
          <w:lang w:eastAsia="zh-CN"/>
        </w:rPr>
        <w:t>2022省级精品在线开放课程建设项目</w:t>
      </w:r>
      <w:r>
        <w:rPr>
          <w:rFonts w:hint="eastAsia" w:ascii="宋体" w:hAnsi="宋体" w:cs="宋体"/>
          <w:color w:val="auto"/>
          <w:highlight w:val="none"/>
        </w:rPr>
        <w:t>（以下简称：“本项目”）的政府采购活动，现邀请供应商参加投标。</w:t>
      </w:r>
    </w:p>
    <w:p>
      <w:pPr>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1、招标编号：</w:t>
      </w:r>
      <w:r>
        <w:rPr>
          <w:rFonts w:hint="eastAsia" w:ascii="宋体" w:hAnsi="宋体" w:cs="宋体"/>
          <w:bCs/>
          <w:color w:val="auto"/>
          <w:sz w:val="24"/>
          <w:highlight w:val="none"/>
          <w:lang w:eastAsia="zh-CN"/>
        </w:rPr>
        <w:t>闽莆建融【F-2022】采招030号</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2、预算金额、最高限价：详见《采购标的一览表》。</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3、招标内容及要求：详见《采购标的一览表》及招标文件第五章。</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5、投标人的资格要求</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5.1法定条件：符合政府采购法第二十二条第一款规定的条件。</w:t>
      </w:r>
    </w:p>
    <w:p>
      <w:pPr>
        <w:pStyle w:val="19"/>
        <w:widowControl/>
        <w:snapToGrid w:val="0"/>
        <w:spacing w:line="400" w:lineRule="exact"/>
        <w:ind w:left="479" w:leftChars="228"/>
        <w:rPr>
          <w:rFonts w:ascii="宋体" w:hAnsi="宋体" w:cs="宋体"/>
          <w:color w:val="auto"/>
          <w:highlight w:val="none"/>
        </w:rPr>
      </w:pPr>
      <w:r>
        <w:rPr>
          <w:rFonts w:hint="eastAsia" w:ascii="宋体" w:hAnsi="宋体" w:cs="宋体"/>
          <w:color w:val="auto"/>
          <w:highlight w:val="none"/>
        </w:rPr>
        <w:t>5.2特定条件：</w:t>
      </w:r>
    </w:p>
    <w:tbl>
      <w:tblPr>
        <w:tblStyle w:val="23"/>
        <w:tblW w:w="973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0"/>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2250" w:type="dxa"/>
            <w:shd w:val="clear" w:color="auto" w:fill="auto"/>
            <w:vAlign w:val="center"/>
          </w:tcPr>
          <w:p>
            <w:pPr>
              <w:widowControl/>
              <w:snapToGrid w:val="0"/>
              <w:jc w:val="center"/>
              <w:rPr>
                <w:b/>
                <w:bCs/>
                <w:color w:val="auto"/>
                <w:highlight w:val="none"/>
              </w:rPr>
            </w:pPr>
            <w:r>
              <w:rPr>
                <w:rFonts w:ascii="宋体" w:hAnsi="宋体" w:cs="宋体"/>
                <w:b/>
                <w:bCs/>
                <w:color w:val="auto"/>
                <w:kern w:val="0"/>
                <w:sz w:val="24"/>
                <w:highlight w:val="none"/>
              </w:rPr>
              <w:t>明细</w:t>
            </w:r>
          </w:p>
        </w:tc>
        <w:tc>
          <w:tcPr>
            <w:tcW w:w="7483" w:type="dxa"/>
            <w:shd w:val="clear" w:color="auto" w:fill="auto"/>
            <w:vAlign w:val="center"/>
          </w:tcPr>
          <w:p>
            <w:pPr>
              <w:widowControl/>
              <w:snapToGrid w:val="0"/>
              <w:jc w:val="center"/>
              <w:rPr>
                <w:b/>
                <w:bCs/>
                <w:color w:val="auto"/>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250" w:type="dxa"/>
            <w:shd w:val="clear" w:color="auto" w:fill="auto"/>
            <w:vAlign w:val="center"/>
          </w:tcPr>
          <w:p>
            <w:pPr>
              <w:widowControl/>
              <w:snapToGrid w:val="0"/>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7483" w:type="dxa"/>
            <w:shd w:val="clear" w:color="auto" w:fill="auto"/>
            <w:vAlign w:val="center"/>
          </w:tcPr>
          <w:p>
            <w:pPr>
              <w:widowControl/>
              <w:snapToGrid w:val="0"/>
              <w:ind w:left="216" w:leftChars="103" w:right="103" w:rightChars="49"/>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250" w:type="dxa"/>
            <w:shd w:val="clear" w:color="auto" w:fill="auto"/>
            <w:vAlign w:val="center"/>
          </w:tcPr>
          <w:p>
            <w:pPr>
              <w:widowControl/>
              <w:snapToGrid w:val="0"/>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7483" w:type="dxa"/>
            <w:shd w:val="clear" w:color="auto" w:fill="auto"/>
            <w:vAlign w:val="center"/>
          </w:tcPr>
          <w:p>
            <w:pPr>
              <w:widowControl/>
              <w:snapToGrid w:val="0"/>
              <w:ind w:left="216" w:leftChars="103" w:right="103" w:rightChars="49"/>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应商为残疾人福利性单位的视同小型和微型企业，可不提供以上第1点材料，但应当提供《残疾人福利性单位声明函》，格式见第五章《响应文件格式》附件。4、本采购项目</w:t>
            </w:r>
            <w:r>
              <w:rPr>
                <w:rFonts w:hint="eastAsia" w:ascii="宋体" w:hAnsi="宋体" w:cs="宋体"/>
                <w:color w:val="auto"/>
                <w:kern w:val="0"/>
                <w:sz w:val="24"/>
                <w:highlight w:val="none"/>
              </w:rPr>
              <w:t>属于服务类招标，</w:t>
            </w:r>
            <w:r>
              <w:rPr>
                <w:rFonts w:ascii="宋体" w:hAnsi="宋体" w:cs="宋体"/>
                <w:color w:val="auto"/>
                <w:kern w:val="0"/>
                <w:sz w:val="24"/>
                <w:highlight w:val="none"/>
              </w:rPr>
              <w:t>所属行业为</w:t>
            </w:r>
            <w:r>
              <w:rPr>
                <w:rFonts w:hint="eastAsia" w:ascii="宋体" w:hAnsi="宋体" w:cs="宋体"/>
                <w:b/>
                <w:color w:val="auto"/>
                <w:kern w:val="0"/>
                <w:sz w:val="24"/>
                <w:highlight w:val="yellow"/>
                <w:lang w:eastAsia="zh-CN" w:bidi="ar"/>
              </w:rPr>
              <w:t>软件和信息技术服务业</w:t>
            </w:r>
            <w:r>
              <w:rPr>
                <w:rFonts w:ascii="宋体" w:hAnsi="宋体" w:cs="宋体"/>
                <w:color w:val="auto"/>
                <w:kern w:val="0"/>
                <w:sz w:val="24"/>
                <w:highlight w:val="none"/>
              </w:rPr>
              <w:t>。</w:t>
            </w:r>
          </w:p>
        </w:tc>
      </w:tr>
    </w:tbl>
    <w:p>
      <w:pPr>
        <w:pStyle w:val="19"/>
        <w:widowControl/>
        <w:snapToGrid w:val="0"/>
        <w:spacing w:line="400" w:lineRule="exact"/>
        <w:ind w:firstLine="480" w:firstLineChars="200"/>
        <w:rPr>
          <w:rFonts w:ascii="宋体" w:hAnsi="宋体" w:cs="宋体"/>
          <w:color w:val="auto"/>
          <w:kern w:val="0"/>
          <w:highlight w:val="none"/>
        </w:rPr>
      </w:pPr>
      <w:r>
        <w:rPr>
          <w:rFonts w:hint="eastAsia" w:ascii="宋体" w:hAnsi="宋体" w:cs="宋体"/>
          <w:color w:val="auto"/>
          <w:highlight w:val="none"/>
        </w:rPr>
        <w:t>5.3是否接受联合体投标：不接受。</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※根据上述资格要求，投标文件中应提交的“投标人的资格及资信证明文件”详见招标文件第四章。</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6、报名</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6、招标文件的获取</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6.1、招标文件获取期限：详见招标公告或更正公告，若不一致，以更正公告为准。</w:t>
      </w:r>
    </w:p>
    <w:p>
      <w:pPr>
        <w:tabs>
          <w:tab w:val="left" w:pos="1134"/>
        </w:tabs>
        <w:snapToGrid w:val="0"/>
        <w:spacing w:line="400" w:lineRule="exact"/>
        <w:ind w:right="105" w:rightChars="50" w:firstLine="480" w:firstLineChars="200"/>
        <w:rPr>
          <w:rFonts w:ascii="宋体" w:hAnsi="宋体" w:cs="宋体"/>
          <w:color w:val="auto"/>
          <w:sz w:val="24"/>
          <w:highlight w:val="none"/>
        </w:rPr>
      </w:pPr>
      <w:r>
        <w:rPr>
          <w:rFonts w:hint="eastAsia" w:ascii="宋体" w:hAnsi="宋体" w:cs="宋体"/>
          <w:color w:val="auto"/>
          <w:sz w:val="24"/>
          <w:highlight w:val="none"/>
        </w:rPr>
        <w:t>6.2获取地点及方式：</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（莆田市城厢区荣华家园3号楼5层）。</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6.3、招标文件售价：100元。</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7、投标截止</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7.1投标截止时间：详见招标公告或更正公告（若有），若不一致，以更正公告（若有）为准。</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8、开标时间及地点：详见招标公告或更正公告（若有），若不一致，以更正公告（若有）为准。</w:t>
      </w:r>
      <w:r>
        <w:rPr>
          <w:rStyle w:val="27"/>
          <w:rFonts w:hint="eastAsia" w:ascii="宋体" w:hAnsi="宋体" w:cs="宋体"/>
          <w:color w:val="auto"/>
          <w:highlight w:val="none"/>
        </w:rPr>
        <w:t> </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9、公告期限</w:t>
      </w:r>
    </w:p>
    <w:p>
      <w:pPr>
        <w:autoSpaceDN w:val="0"/>
        <w:snapToGrid w:val="0"/>
        <w:spacing w:line="400" w:lineRule="exact"/>
        <w:ind w:firstLine="480" w:firstLineChars="200"/>
        <w:rPr>
          <w:rFonts w:ascii="宋体" w:hAnsi="宋体" w:cs="宋体"/>
          <w:color w:val="auto"/>
          <w:highlight w:val="none"/>
        </w:rPr>
      </w:pPr>
      <w:r>
        <w:rPr>
          <w:rFonts w:hint="eastAsia" w:ascii="宋体" w:hAnsi="宋体" w:cs="宋体"/>
          <w:color w:val="auto"/>
          <w:sz w:val="24"/>
          <w:highlight w:val="none"/>
        </w:rPr>
        <w:t>9.1招标公告的公告期限：</w:t>
      </w:r>
      <w:r>
        <w:rPr>
          <w:rFonts w:hint="eastAsia" w:ascii="宋体" w:hAnsi="宋体" w:cs="宋体"/>
          <w:color w:val="auto"/>
          <w:spacing w:val="-6"/>
          <w:sz w:val="24"/>
          <w:highlight w:val="none"/>
        </w:rPr>
        <w:t>指定的政府采购信息发布媒体最先发布公告之日起5个工作日。</w:t>
      </w:r>
    </w:p>
    <w:p>
      <w:pPr>
        <w:pStyle w:val="19"/>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9.2招标文件公告期限：招标文件随同招标公告一并发布，其公告期限与本章第9.1条载明的期限保持一致。</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10、</w:t>
      </w:r>
      <w:r>
        <w:rPr>
          <w:rFonts w:hint="eastAsia" w:ascii="宋体" w:hAnsi="宋体" w:cs="宋体"/>
          <w:bCs/>
          <w:color w:val="auto"/>
          <w:sz w:val="24"/>
          <w:highlight w:val="none"/>
        </w:rPr>
        <w:t>投标须知：</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10.1建融建设管理集团有限责任公司 指定账户：</w:t>
      </w:r>
    </w:p>
    <w:p>
      <w:pPr>
        <w:pStyle w:val="6"/>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保证金缴纳帐户：保证金必须以供应商</w:t>
      </w:r>
      <w:r>
        <w:rPr>
          <w:rFonts w:hint="eastAsia" w:ascii="宋体" w:hAnsi="宋体" w:cs="宋体"/>
          <w:b/>
          <w:color w:val="auto"/>
          <w:sz w:val="24"/>
          <w:highlight w:val="none"/>
        </w:rPr>
        <w:t>银行帐户公对公</w:t>
      </w:r>
      <w:r>
        <w:rPr>
          <w:rFonts w:hint="eastAsia" w:ascii="宋体" w:hAnsi="宋体" w:cs="宋体"/>
          <w:color w:val="auto"/>
          <w:sz w:val="24"/>
          <w:highlight w:val="none"/>
        </w:rPr>
        <w:t>转账至:</w:t>
      </w:r>
    </w:p>
    <w:p>
      <w:pPr>
        <w:pStyle w:val="6"/>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pStyle w:val="6"/>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pStyle w:val="6"/>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帐  号:13400201040007163</w:t>
      </w:r>
    </w:p>
    <w:p>
      <w:pPr>
        <w:snapToGrid w:val="0"/>
        <w:spacing w:line="400" w:lineRule="exact"/>
        <w:ind w:right="-218" w:rightChars="-104" w:firstLine="480" w:firstLineChars="200"/>
        <w:rPr>
          <w:rFonts w:ascii="宋体" w:hAnsi="宋体" w:cs="宋体"/>
          <w:color w:val="auto"/>
          <w:sz w:val="24"/>
          <w:highlight w:val="none"/>
        </w:rPr>
      </w:pPr>
      <w:r>
        <w:rPr>
          <w:rFonts w:hint="eastAsia" w:ascii="宋体" w:hAnsi="宋体" w:cs="宋体"/>
          <w:color w:val="auto"/>
          <w:sz w:val="24"/>
          <w:highlight w:val="none"/>
        </w:rPr>
        <w:t>11、对本次招标提出询问，请按以下方式联系：</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采购单位：湄洲湾职业技术学院</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地址：莆田市涵江区梧塘镇荔涵东大道1001号</w:t>
      </w:r>
    </w:p>
    <w:p>
      <w:pPr>
        <w:snapToGrid w:val="0"/>
        <w:spacing w:line="400" w:lineRule="exact"/>
        <w:ind w:left="40" w:leftChars="19" w:firstLine="756" w:firstLineChars="315"/>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陈</w:t>
      </w:r>
      <w:r>
        <w:rPr>
          <w:rFonts w:hint="eastAsia" w:ascii="宋体" w:hAnsi="宋体" w:cs="宋体"/>
          <w:color w:val="auto"/>
          <w:kern w:val="0"/>
          <w:sz w:val="24"/>
          <w:highlight w:val="none"/>
        </w:rPr>
        <w:t>老师</w:t>
      </w:r>
    </w:p>
    <w:p>
      <w:pPr>
        <w:snapToGrid w:val="0"/>
        <w:spacing w:line="400" w:lineRule="exact"/>
        <w:ind w:left="40" w:leftChars="19" w:firstLine="756" w:firstLineChars="315"/>
        <w:rPr>
          <w:rFonts w:ascii="宋体" w:hAnsi="宋体" w:cs="宋体"/>
          <w:color w:val="auto"/>
          <w:kern w:val="0"/>
          <w:sz w:val="24"/>
          <w:highlight w:val="none"/>
        </w:rPr>
      </w:pPr>
      <w:r>
        <w:rPr>
          <w:rFonts w:hint="eastAsia" w:ascii="宋体" w:hAnsi="宋体" w:cs="宋体"/>
          <w:color w:val="auto"/>
          <w:kern w:val="0"/>
          <w:sz w:val="24"/>
          <w:highlight w:val="none"/>
        </w:rPr>
        <w:t>电  话：13950766563</w:t>
      </w:r>
    </w:p>
    <w:p>
      <w:pPr>
        <w:snapToGrid w:val="0"/>
        <w:spacing w:line="400" w:lineRule="exact"/>
        <w:ind w:firstLine="720" w:firstLineChars="300"/>
        <w:rPr>
          <w:rFonts w:ascii="宋体" w:hAnsi="宋体" w:cs="宋体"/>
          <w:color w:val="auto"/>
          <w:kern w:val="0"/>
          <w:sz w:val="24"/>
          <w:highlight w:val="none"/>
        </w:rPr>
      </w:pP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采购代理机构联系方式</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采购代理机构：建融建设管理集团有限责任公司</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地  址：莆田市城厢区荣华嘉园3号楼5层 </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邮  编：  351100          </w:t>
      </w:r>
      <w:r>
        <w:rPr>
          <w:rFonts w:hint="eastAsia" w:ascii="宋体" w:hAnsi="宋体" w:cs="宋体"/>
          <w:color w:val="auto"/>
          <w:kern w:val="0"/>
          <w:sz w:val="24"/>
          <w:highlight w:val="none"/>
        </w:rPr>
        <w:tab/>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电  话： 13599466266（微信同号）</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邮  箱： 149870167@qq.com</w:t>
      </w:r>
    </w:p>
    <w:p>
      <w:pPr>
        <w:rPr>
          <w:rFonts w:ascii="宋体" w:hAnsi="宋体" w:cs="宋体"/>
          <w:b/>
          <w:color w:val="auto"/>
          <w:sz w:val="24"/>
          <w:highlight w:val="none"/>
        </w:rPr>
      </w:pPr>
      <w:r>
        <w:rPr>
          <w:rFonts w:hint="eastAsia" w:ascii="宋体" w:hAnsi="宋体" w:cs="宋体"/>
          <w:b/>
          <w:color w:val="auto"/>
          <w:sz w:val="24"/>
          <w:highlight w:val="none"/>
        </w:rPr>
        <w:br w:type="page"/>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附1：采购标的一览表</w:t>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 xml:space="preserve">                                                            金额单位：人民币/元</w:t>
      </w:r>
    </w:p>
    <w:tbl>
      <w:tblPr>
        <w:tblStyle w:val="23"/>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728"/>
        <w:gridCol w:w="4505"/>
        <w:gridCol w:w="780"/>
        <w:gridCol w:w="119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90" w:hRule="atLeast"/>
          <w:jc w:val="center"/>
        </w:trPr>
        <w:tc>
          <w:tcPr>
            <w:tcW w:w="728"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合同包</w:t>
            </w:r>
          </w:p>
        </w:tc>
        <w:tc>
          <w:tcPr>
            <w:tcW w:w="4505"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品目名称（采购标的）</w:t>
            </w:r>
          </w:p>
        </w:tc>
        <w:tc>
          <w:tcPr>
            <w:tcW w:w="780"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193"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小计（元）</w:t>
            </w:r>
          </w:p>
        </w:tc>
        <w:tc>
          <w:tcPr>
            <w:tcW w:w="1532" w:type="dxa"/>
            <w:noWrap/>
            <w:vAlign w:val="center"/>
          </w:tcPr>
          <w:p>
            <w:pPr>
              <w:autoSpaceDN w:val="0"/>
              <w:ind w:left="0" w:leftChars="0" w:firstLine="0" w:firstLineChars="0"/>
              <w:textAlignment w:val="center"/>
              <w:rPr>
                <w:rFonts w:ascii="宋体" w:hAnsi="宋体" w:cs="宋体"/>
                <w:b/>
                <w:bCs/>
                <w:color w:val="auto"/>
                <w:sz w:val="24"/>
                <w:highlight w:val="none"/>
              </w:rPr>
            </w:pPr>
            <w:r>
              <w:rPr>
                <w:rFonts w:hint="eastAsia" w:ascii="宋体" w:hAnsi="宋体" w:cs="宋体"/>
                <w:b/>
                <w:bCs/>
                <w:color w:val="auto"/>
                <w:sz w:val="24"/>
                <w:highlight w:val="none"/>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57" w:hRule="exact"/>
          <w:jc w:val="center"/>
        </w:trPr>
        <w:tc>
          <w:tcPr>
            <w:tcW w:w="728" w:type="dxa"/>
            <w:noWrap/>
            <w:vAlign w:val="center"/>
          </w:tcPr>
          <w:p>
            <w:pPr>
              <w:pStyle w:val="19"/>
              <w:spacing w:line="360" w:lineRule="auto"/>
              <w:jc w:val="center"/>
              <w:rPr>
                <w:rFonts w:ascii="宋体" w:hAnsi="宋体" w:cs="宋体"/>
                <w:color w:val="auto"/>
                <w:sz w:val="24"/>
                <w:highlight w:val="none"/>
              </w:rPr>
            </w:pPr>
            <w:r>
              <w:rPr>
                <w:rFonts w:hint="eastAsia"/>
              </w:rPr>
              <w:t>1</w:t>
            </w:r>
          </w:p>
        </w:tc>
        <w:tc>
          <w:tcPr>
            <w:tcW w:w="4505" w:type="dxa"/>
            <w:noWrap/>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《数控机床机械装配实训》</w:t>
            </w:r>
            <w:r>
              <w:rPr>
                <w:rFonts w:hint="eastAsia" w:ascii="宋体" w:hAnsi="宋体" w:eastAsia="宋体" w:cs="宋体"/>
                <w:color w:val="auto"/>
                <w:sz w:val="24"/>
                <w:szCs w:val="24"/>
              </w:rPr>
              <w:t>精品在线开放课程建设项目（省级）</w:t>
            </w:r>
          </w:p>
        </w:tc>
        <w:tc>
          <w:tcPr>
            <w:tcW w:w="780" w:type="dxa"/>
            <w:noWrap/>
            <w:vAlign w:val="center"/>
          </w:tcPr>
          <w:p>
            <w:pPr>
              <w:pStyle w:val="1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门</w:t>
            </w:r>
          </w:p>
        </w:tc>
        <w:tc>
          <w:tcPr>
            <w:tcW w:w="1193" w:type="dxa"/>
            <w:noWrap/>
            <w:vAlign w:val="center"/>
          </w:tcPr>
          <w:p>
            <w:pPr>
              <w:pStyle w:val="1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150000</w:t>
            </w:r>
          </w:p>
        </w:tc>
        <w:tc>
          <w:tcPr>
            <w:tcW w:w="1532" w:type="dxa"/>
            <w:vMerge w:val="restart"/>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57" w:hRule="exact"/>
          <w:jc w:val="center"/>
        </w:trPr>
        <w:tc>
          <w:tcPr>
            <w:tcW w:w="728" w:type="dxa"/>
            <w:noWrap/>
            <w:vAlign w:val="center"/>
          </w:tcPr>
          <w:p>
            <w:pPr>
              <w:pStyle w:val="19"/>
              <w:spacing w:line="360" w:lineRule="auto"/>
              <w:jc w:val="center"/>
              <w:rPr>
                <w:rFonts w:hint="eastAsia" w:ascii="宋体" w:hAnsi="宋体" w:cs="宋体"/>
                <w:color w:val="auto"/>
                <w:kern w:val="0"/>
                <w:sz w:val="18"/>
                <w:szCs w:val="18"/>
                <w:highlight w:val="none"/>
              </w:rPr>
            </w:pPr>
            <w:r>
              <w:rPr>
                <w:rFonts w:hint="eastAsia"/>
                <w:lang w:val="en-US" w:eastAsia="zh-CN"/>
              </w:rPr>
              <w:t>2</w:t>
            </w:r>
          </w:p>
        </w:tc>
        <w:tc>
          <w:tcPr>
            <w:tcW w:w="4505" w:type="dxa"/>
            <w:noWrap/>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《电气装配实训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精品在线开放课程建设项目（省级）</w:t>
            </w:r>
          </w:p>
        </w:tc>
        <w:tc>
          <w:tcPr>
            <w:tcW w:w="780" w:type="dxa"/>
            <w:noWrap/>
            <w:vAlign w:val="center"/>
          </w:tcPr>
          <w:p>
            <w:pPr>
              <w:pStyle w:val="1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门</w:t>
            </w:r>
          </w:p>
        </w:tc>
        <w:tc>
          <w:tcPr>
            <w:tcW w:w="1193" w:type="dxa"/>
            <w:noWrap/>
            <w:vAlign w:val="center"/>
          </w:tcPr>
          <w:p>
            <w:pPr>
              <w:pStyle w:val="1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150000</w:t>
            </w:r>
          </w:p>
        </w:tc>
        <w:tc>
          <w:tcPr>
            <w:tcW w:w="1532" w:type="dxa"/>
            <w:vMerge w:val="continue"/>
            <w:noWrap/>
            <w:vAlign w:val="center"/>
          </w:tcPr>
          <w:p>
            <w:pPr>
              <w:spacing w:line="360" w:lineRule="auto"/>
              <w:jc w:val="center"/>
              <w:rPr>
                <w:rFonts w:hint="eastAsia" w:ascii="宋体" w:hAnsi="宋体" w:eastAsia="宋体" w:cs="宋体"/>
                <w:color w:val="auto"/>
                <w:sz w:val="24"/>
                <w:szCs w:val="24"/>
                <w:highlight w:val="none"/>
              </w:rPr>
            </w:pPr>
          </w:p>
        </w:tc>
      </w:tr>
    </w:tbl>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备注：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2、本次采购设有最高限价，最高限价为</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0000元，超过最高限价视为无效报价。</w:t>
      </w:r>
    </w:p>
    <w:p>
      <w:pPr>
        <w:pStyle w:val="20"/>
        <w:jc w:val="both"/>
        <w:rPr>
          <w:rFonts w:ascii="宋体" w:hAnsi="宋体" w:cs="宋体"/>
          <w:color w:val="auto"/>
          <w:highlight w:val="none"/>
        </w:rPr>
      </w:pPr>
    </w:p>
    <w:p>
      <w:pPr>
        <w:pStyle w:val="11"/>
        <w:tabs>
          <w:tab w:val="left" w:pos="8360"/>
        </w:tabs>
        <w:spacing w:line="440" w:lineRule="exact"/>
        <w:jc w:val="left"/>
        <w:rPr>
          <w:rFonts w:hAnsi="宋体" w:cs="宋体"/>
          <w:color w:val="auto"/>
          <w:sz w:val="24"/>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pStyle w:val="22"/>
        <w:ind w:left="420" w:firstLine="643"/>
        <w:rPr>
          <w:rFonts w:ascii="宋体" w:hAnsi="宋体" w:cs="宋体"/>
          <w:b/>
          <w:bCs/>
          <w:color w:val="auto"/>
          <w:sz w:val="32"/>
          <w:highlight w:val="none"/>
        </w:rPr>
      </w:pPr>
    </w:p>
    <w:p>
      <w:pPr>
        <w:pStyle w:val="22"/>
        <w:ind w:left="420" w:firstLine="643"/>
        <w:rPr>
          <w:rFonts w:ascii="宋体" w:hAnsi="宋体" w:cs="宋体"/>
          <w:b/>
          <w:bCs/>
          <w:color w:val="auto"/>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rPr>
          <w:rFonts w:ascii="宋体" w:hAnsi="宋体" w:cs="宋体"/>
          <w:color w:val="auto"/>
          <w:highlight w:val="none"/>
        </w:rPr>
      </w:pPr>
      <w:r>
        <w:rPr>
          <w:rFonts w:hint="eastAsia" w:ascii="宋体" w:hAnsi="宋体" w:cs="宋体"/>
          <w:b/>
          <w:bCs/>
          <w:color w:val="auto"/>
          <w:kern w:val="0"/>
          <w:sz w:val="32"/>
          <w:highlight w:val="none"/>
        </w:rPr>
        <w:br w:type="page"/>
      </w:r>
    </w:p>
    <w:p>
      <w:pPr>
        <w:spacing w:before="312" w:beforeLines="100" w:after="312" w:afterLines="100" w:line="400" w:lineRule="exact"/>
        <w:jc w:val="center"/>
        <w:rPr>
          <w:rFonts w:ascii="宋体" w:hAnsi="宋体" w:cs="宋体"/>
          <w:b/>
          <w:color w:val="auto"/>
          <w:sz w:val="32"/>
          <w:szCs w:val="32"/>
          <w:highlight w:val="none"/>
        </w:rPr>
      </w:pPr>
      <w:r>
        <w:rPr>
          <w:rFonts w:hint="eastAsia" w:ascii="宋体" w:hAnsi="宋体" w:cs="宋体"/>
          <w:b/>
          <w:bCs/>
          <w:color w:val="auto"/>
          <w:kern w:val="0"/>
          <w:sz w:val="32"/>
          <w:highlight w:val="none"/>
        </w:rPr>
        <w:t>第二章   投标人须知前附表（表1）</w:t>
      </w:r>
    </w:p>
    <w:p>
      <w:pPr>
        <w:spacing w:line="360" w:lineRule="auto"/>
        <w:ind w:firstLine="354" w:firstLineChars="147"/>
        <w:outlineLvl w:val="1"/>
        <w:rPr>
          <w:rFonts w:ascii="宋体" w:hAnsi="宋体" w:cs="宋体"/>
          <w:b/>
          <w:color w:val="auto"/>
          <w:sz w:val="32"/>
          <w:szCs w:val="32"/>
          <w:highlight w:val="none"/>
        </w:rPr>
      </w:pPr>
      <w:r>
        <w:rPr>
          <w:rFonts w:hint="eastAsia" w:ascii="宋体" w:hAnsi="宋体" w:cs="宋体"/>
          <w:b/>
          <w:bCs/>
          <w:color w:val="auto"/>
          <w:kern w:val="0"/>
          <w:sz w:val="24"/>
          <w:highlight w:val="none"/>
        </w:rPr>
        <w:t>表1</w:t>
      </w:r>
    </w:p>
    <w:tbl>
      <w:tblPr>
        <w:tblStyle w:val="2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886" w:type="dxa"/>
            <w:gridSpan w:val="3"/>
            <w:vAlign w:val="center"/>
          </w:tcPr>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特别提示：</w:t>
            </w:r>
            <w:r>
              <w:rPr>
                <w:rFonts w:hint="eastAsia" w:ascii="宋体" w:hAnsi="宋体" w:cs="宋体"/>
                <w:b/>
                <w:bCs/>
                <w:color w:val="auto"/>
                <w:sz w:val="24"/>
                <w:highlight w:val="none"/>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项号</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招标文件（第三章）</w:t>
            </w:r>
          </w:p>
        </w:tc>
        <w:tc>
          <w:tcPr>
            <w:tcW w:w="763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82" w:type="dxa"/>
            <w:vAlign w:val="center"/>
          </w:tcPr>
          <w:p>
            <w:pPr>
              <w:widowControl/>
              <w:spacing w:line="360" w:lineRule="auto"/>
              <w:jc w:val="center"/>
              <w:rPr>
                <w:rFonts w:ascii="宋体" w:hAnsi="宋体" w:cs="宋体"/>
                <w:color w:val="auto"/>
                <w:kern w:val="0"/>
                <w:sz w:val="24"/>
                <w:highlight w:val="none"/>
              </w:rPr>
            </w:pPr>
          </w:p>
        </w:tc>
        <w:tc>
          <w:tcPr>
            <w:tcW w:w="7636" w:type="dxa"/>
            <w:vAlign w:val="center"/>
          </w:tcPr>
          <w:p>
            <w:pPr>
              <w:widowControl/>
              <w:spacing w:line="360" w:lineRule="auto"/>
              <w:jc w:val="left"/>
              <w:rPr>
                <w:rFonts w:ascii="宋体" w:hAnsi="宋体" w:cs="宋体"/>
                <w:color w:val="auto"/>
                <w:highlight w:val="none"/>
              </w:rPr>
            </w:pPr>
            <w:r>
              <w:rPr>
                <w:rStyle w:val="27"/>
                <w:rFonts w:hint="eastAsia" w:ascii="宋体" w:hAnsi="宋体" w:cs="宋体"/>
                <w:b w:val="0"/>
                <w:color w:val="auto"/>
                <w:sz w:val="24"/>
                <w:highlight w:val="none"/>
              </w:rPr>
              <w:t>是否组织现场考察或召开开标前答疑会：</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投标文件的份数</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纸质投标文件：</w:t>
            </w:r>
          </w:p>
          <w:p>
            <w:pPr>
              <w:widowControl/>
              <w:numPr>
                <w:ilvl w:val="0"/>
                <w:numId w:val="1"/>
              </w:num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资格及资信证明部分的正本1份、副本1份，报价部分的正本1份、副本1份，技术商务部分的正本1份、副本1份。</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允许散装或活页装订的内容或材料：</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（1）投标文件的补充、修改或撤回；</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是否允许中标人将本项目的非主体、非关键性工作进行分包</w:t>
            </w:r>
          </w:p>
        </w:tc>
        <w:tc>
          <w:tcPr>
            <w:tcW w:w="7636" w:type="dxa"/>
            <w:vAlign w:val="center"/>
          </w:tcPr>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密封及其标记的具体形式：</w:t>
            </w:r>
          </w:p>
          <w:p>
            <w:pPr>
              <w:widowControl/>
              <w:spacing w:line="360" w:lineRule="auto"/>
              <w:jc w:val="center"/>
              <w:rPr>
                <w:rFonts w:ascii="宋体" w:hAnsi="宋体" w:cs="宋体"/>
                <w:color w:val="auto"/>
                <w:kern w:val="0"/>
                <w:sz w:val="24"/>
                <w:highlight w:val="none"/>
              </w:rPr>
            </w:pP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（1）全部纸质投标文件（包括正本、副本及可读介质）均应密封，否则投标将被拒绝。</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（2）密封的外包装应至少标记“项目名称、招标编号、所投合同包、投标人的全称”等内容，否则造成投标文件误投、遗漏或提前拆封的，建融建设管理集团有限责任公司 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推荐候选人</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8</w:t>
            </w:r>
          </w:p>
        </w:tc>
        <w:tc>
          <w:tcPr>
            <w:tcW w:w="1782" w:type="dxa"/>
            <w:vAlign w:val="center"/>
          </w:tcPr>
          <w:p>
            <w:pPr>
              <w:widowControl/>
              <w:spacing w:line="360" w:lineRule="auto"/>
              <w:jc w:val="left"/>
              <w:rPr>
                <w:rFonts w:ascii="宋体" w:hAnsi="宋体" w:cs="宋体"/>
                <w:color w:val="auto"/>
                <w:kern w:val="0"/>
                <w:sz w:val="24"/>
                <w:highlight w:val="none"/>
              </w:rPr>
            </w:pPr>
            <w:r>
              <w:rPr>
                <w:rStyle w:val="27"/>
                <w:rFonts w:hint="eastAsia" w:ascii="宋体" w:hAnsi="宋体" w:cs="宋体"/>
                <w:color w:val="auto"/>
                <w:highlight w:val="none"/>
              </w:rPr>
              <w:t>本项目中标人的确定（以合同包为单位）</w:t>
            </w:r>
          </w:p>
        </w:tc>
        <w:tc>
          <w:tcPr>
            <w:tcW w:w="7636" w:type="dxa"/>
            <w:vAlign w:val="center"/>
          </w:tcPr>
          <w:p>
            <w:pPr>
              <w:pStyle w:val="19"/>
              <w:widowControl/>
              <w:spacing w:line="360" w:lineRule="auto"/>
              <w:rPr>
                <w:rFonts w:ascii="宋体" w:hAnsi="宋体" w:cs="宋体"/>
                <w:color w:val="auto"/>
                <w:highlight w:val="none"/>
              </w:rPr>
            </w:pPr>
            <w:r>
              <w:rPr>
                <w:rFonts w:hint="eastAsia" w:ascii="宋体" w:hAnsi="宋体" w:cs="宋体"/>
                <w:color w:val="auto"/>
                <w:highlight w:val="none"/>
              </w:rPr>
              <w:t>（1）采购人应在政府采购招投标管理办法规定的时限内确定中标人。</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（2）若出现中标候选人并列情形，则按照下列方式确定中标人：</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①招标文件规定的方式：无。</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②若本款第①点规定方式为“无”，则按照下列方式确定：无。</w:t>
            </w:r>
          </w:p>
          <w:p>
            <w:pPr>
              <w:pStyle w:val="19"/>
              <w:widowControl/>
              <w:spacing w:line="360" w:lineRule="auto"/>
              <w:rPr>
                <w:rFonts w:ascii="宋体" w:hAnsi="宋体" w:cs="宋体"/>
                <w:b/>
                <w:bCs/>
                <w:color w:val="auto"/>
                <w:highlight w:val="none"/>
              </w:rPr>
            </w:pPr>
            <w:r>
              <w:rPr>
                <w:rFonts w:hint="eastAsia" w:ascii="宋体" w:hAnsi="宋体" w:cs="宋体"/>
                <w:color w:val="auto"/>
                <w:highlight w:val="none"/>
              </w:rPr>
              <w:t>③若本款第①、②点规定方式均为“无”，则按照下列方式确定：</w:t>
            </w:r>
            <w:r>
              <w:rPr>
                <w:rFonts w:hint="eastAsia" w:ascii="宋体" w:hAnsi="宋体" w:cs="宋体"/>
                <w:b/>
                <w:bCs/>
                <w:color w:val="auto"/>
                <w:highlight w:val="none"/>
              </w:rPr>
              <w:t>随机抽取。</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（3）本项目确定的中标人家数：</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①本项目确定合同包1中标人数为1家；</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782" w:type="dxa"/>
            <w:vAlign w:val="center"/>
          </w:tcPr>
          <w:p>
            <w:pPr>
              <w:widowControl/>
              <w:spacing w:line="360" w:lineRule="auto"/>
              <w:rPr>
                <w:rStyle w:val="27"/>
                <w:rFonts w:ascii="宋体" w:hAnsi="宋体" w:cs="宋体"/>
                <w:color w:val="auto"/>
                <w:highlight w:val="none"/>
              </w:rPr>
            </w:pPr>
            <w:r>
              <w:rPr>
                <w:rStyle w:val="27"/>
                <w:rFonts w:hint="eastAsia" w:ascii="宋体" w:hAnsi="宋体" w:cs="宋体"/>
                <w:color w:val="auto"/>
                <w:sz w:val="24"/>
                <w:highlight w:val="none"/>
              </w:rPr>
              <w:t>质疑函原件应采用下列方式提交</w:t>
            </w:r>
          </w:p>
        </w:tc>
        <w:tc>
          <w:tcPr>
            <w:tcW w:w="76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招标文件的质疑</w:t>
            </w:r>
          </w:p>
          <w:p>
            <w:pPr>
              <w:widowControl/>
              <w:spacing w:line="360" w:lineRule="auto"/>
              <w:jc w:val="left"/>
              <w:rPr>
                <w:rFonts w:ascii="宋体" w:hAnsi="宋体" w:cs="宋体"/>
                <w:color w:val="auto"/>
                <w:kern w:val="0"/>
                <w:sz w:val="24"/>
                <w:highlight w:val="none"/>
              </w:rPr>
            </w:pPr>
          </w:p>
        </w:tc>
        <w:tc>
          <w:tcPr>
            <w:tcW w:w="7636" w:type="dxa"/>
            <w:vAlign w:val="center"/>
          </w:tcPr>
          <w:p>
            <w:pPr>
              <w:pStyle w:val="19"/>
              <w:widowControl/>
              <w:spacing w:line="360" w:lineRule="auto"/>
              <w:rPr>
                <w:rFonts w:ascii="宋体" w:hAnsi="宋体" w:cs="宋体"/>
                <w:color w:val="auto"/>
                <w:highlight w:val="none"/>
              </w:rPr>
            </w:pPr>
            <w:r>
              <w:rPr>
                <w:rFonts w:hint="eastAsia" w:ascii="宋体" w:hAnsi="宋体" w:cs="宋体"/>
                <w:color w:val="auto"/>
                <w:highlight w:val="none"/>
              </w:rPr>
              <w:t>（1）潜在投标人可在质疑时效期间内对招标文件以书面形式提出质疑。</w:t>
            </w:r>
          </w:p>
          <w:p>
            <w:pPr>
              <w:pStyle w:val="19"/>
              <w:widowControl/>
              <w:spacing w:line="360" w:lineRule="auto"/>
              <w:rPr>
                <w:rFonts w:ascii="宋体" w:hAnsi="宋体" w:cs="宋体"/>
                <w:color w:val="auto"/>
                <w:highlight w:val="none"/>
              </w:rPr>
            </w:pPr>
            <w:r>
              <w:rPr>
                <w:rFonts w:hint="eastAsia" w:ascii="宋体" w:hAnsi="宋体" w:cs="宋体"/>
                <w:color w:val="auto"/>
                <w:highlight w:val="none"/>
              </w:rPr>
              <w:t>（2）质疑时效期间：</w:t>
            </w:r>
          </w:p>
          <w:p>
            <w:pPr>
              <w:pStyle w:val="19"/>
              <w:widowControl/>
              <w:spacing w:line="360" w:lineRule="auto"/>
              <w:rPr>
                <w:rFonts w:ascii="宋体" w:hAnsi="宋体" w:cs="宋体"/>
                <w:color w:val="auto"/>
                <w:kern w:val="0"/>
                <w:highlight w:val="none"/>
              </w:rPr>
            </w:pPr>
            <w:r>
              <w:rPr>
                <w:rFonts w:hint="eastAsia" w:ascii="宋体" w:hAnsi="宋体" w:cs="宋体"/>
                <w:color w:val="auto"/>
                <w:highlight w:val="none"/>
              </w:rPr>
              <w:t>①在招标文件公告期限截止后至招标文件提供期限届满前的期间内：自招标文件公告期限届满之日起7个工作日内向建融建设管理集团有限责任公司 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监督管理部门</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指定媒体</w:t>
            </w:r>
          </w:p>
        </w:tc>
        <w:tc>
          <w:tcPr>
            <w:tcW w:w="76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政府采购信息发布媒体（以下简称：“指定媒体”）：</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（1）中国政府采购网</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（2）中国采购与招标网</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78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投标保证金</w:t>
            </w:r>
          </w:p>
        </w:tc>
        <w:tc>
          <w:tcPr>
            <w:tcW w:w="7636" w:type="dxa"/>
            <w:vAlign w:val="center"/>
          </w:tcPr>
          <w:p>
            <w:pPr>
              <w:pStyle w:val="6"/>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本批招标投标保证金为人民币</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4980 \* CHINESENUM4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叁仟元</w:t>
            </w:r>
            <w:r>
              <w:rPr>
                <w:rFonts w:hint="eastAsia" w:ascii="宋体" w:hAnsi="宋体" w:cs="宋体"/>
                <w:color w:val="auto"/>
                <w:sz w:val="24"/>
                <w:highlight w:val="none"/>
              </w:rPr>
              <w:t>整</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00元)，保证金必须以</w:t>
            </w:r>
            <w:r>
              <w:rPr>
                <w:rFonts w:hint="eastAsia" w:ascii="宋体" w:hAnsi="宋体" w:cs="宋体"/>
                <w:b/>
                <w:color w:val="auto"/>
                <w:sz w:val="24"/>
                <w:highlight w:val="none"/>
              </w:rPr>
              <w:t>投标人银行帐户公对公</w:t>
            </w:r>
            <w:r>
              <w:rPr>
                <w:rFonts w:hint="eastAsia" w:ascii="宋体" w:hAnsi="宋体" w:cs="宋体"/>
                <w:color w:val="auto"/>
                <w:sz w:val="24"/>
                <w:highlight w:val="none"/>
              </w:rPr>
              <w:t>转账至：</w:t>
            </w:r>
          </w:p>
          <w:p>
            <w:pPr>
              <w:pStyle w:val="6"/>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pStyle w:val="6"/>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pStyle w:val="6"/>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  号：13400201040007163</w:t>
            </w:r>
          </w:p>
          <w:p>
            <w:pPr>
              <w:pStyle w:val="6"/>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以款到账户为准，不接受汇票。投标人在缴纳保证金时必须以公司的账户缴纳，不得以投标代表个人的名称缴纳。</w:t>
            </w:r>
            <w:r>
              <w:rPr>
                <w:rFonts w:hint="eastAsia" w:ascii="宋体" w:hAnsi="宋体" w:cs="宋体"/>
                <w:b/>
                <w:color w:val="auto"/>
                <w:sz w:val="24"/>
                <w:highlight w:val="none"/>
              </w:rPr>
              <w:t>保证金未按规定时间到账或提交投标保证金的汇款人名称与投标人名称不一致的，其投标将被拒绝。</w:t>
            </w:r>
          </w:p>
          <w:p>
            <w:pPr>
              <w:widowControl/>
              <w:spacing w:line="360" w:lineRule="auto"/>
              <w:jc w:val="left"/>
              <w:rPr>
                <w:rFonts w:ascii="宋体" w:hAnsi="宋体" w:cs="宋体"/>
                <w:b/>
                <w:color w:val="auto"/>
                <w:kern w:val="0"/>
                <w:sz w:val="24"/>
                <w:highlight w:val="none"/>
              </w:rPr>
            </w:pPr>
            <w:r>
              <w:rPr>
                <w:rFonts w:hint="eastAsia" w:ascii="宋体" w:hAnsi="宋体" w:cs="宋体"/>
                <w:b/>
                <w:color w:val="auto"/>
                <w:sz w:val="24"/>
                <w:highlight w:val="none"/>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78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招标服务费</w:t>
            </w:r>
          </w:p>
        </w:tc>
        <w:tc>
          <w:tcPr>
            <w:tcW w:w="7636" w:type="dxa"/>
            <w:vAlign w:val="center"/>
          </w:tcPr>
          <w:p>
            <w:pPr>
              <w:spacing w:line="360" w:lineRule="auto"/>
              <w:rPr>
                <w:rFonts w:ascii="宋体" w:hAnsi="宋体" w:cs="宋体"/>
                <w:color w:val="auto"/>
                <w:sz w:val="24"/>
                <w:highlight w:val="none"/>
              </w:rPr>
            </w:pPr>
            <w:r>
              <w:rPr>
                <w:rFonts w:hint="eastAsia" w:ascii="宋体" w:hAnsi="宋体" w:cs="宋体"/>
                <w:bCs/>
                <w:color w:val="auto"/>
                <w:kern w:val="0"/>
                <w:sz w:val="24"/>
                <w:highlight w:val="none"/>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②招标服务费缴纳账户：</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spacing w:line="360" w:lineRule="auto"/>
              <w:rPr>
                <w:rFonts w:ascii="宋体" w:hAnsi="宋体" w:cs="宋体"/>
                <w:color w:val="auto"/>
                <w:sz w:val="24"/>
                <w:highlight w:val="none"/>
              </w:rPr>
            </w:pPr>
            <w:r>
              <w:rPr>
                <w:rFonts w:hint="eastAsia" w:ascii="宋体" w:hAnsi="宋体" w:cs="宋体"/>
                <w:color w:val="auto"/>
                <w:sz w:val="24"/>
                <w:highlight w:val="none"/>
              </w:rPr>
              <w:t>帐  号：13400201040007163</w:t>
            </w:r>
          </w:p>
        </w:tc>
      </w:tr>
    </w:tbl>
    <w:p>
      <w:pPr>
        <w:rPr>
          <w:rFonts w:ascii="宋体" w:hAnsi="宋体" w:cs="宋体"/>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widowControl/>
        <w:spacing w:before="75" w:after="75"/>
        <w:rPr>
          <w:rFonts w:ascii="宋体" w:hAnsi="宋体" w:cs="宋体"/>
          <w:b/>
          <w:bCs/>
          <w:color w:val="auto"/>
          <w:kern w:val="0"/>
          <w:sz w:val="32"/>
          <w:highlight w:val="none"/>
        </w:rPr>
      </w:pPr>
    </w:p>
    <w:p>
      <w:pPr>
        <w:rPr>
          <w:rFonts w:ascii="宋体" w:hAnsi="宋体" w:cs="宋体"/>
          <w:b/>
          <w:bCs/>
          <w:color w:val="auto"/>
          <w:kern w:val="0"/>
          <w:sz w:val="32"/>
          <w:highlight w:val="none"/>
        </w:rPr>
      </w:pPr>
      <w:r>
        <w:rPr>
          <w:rFonts w:hint="eastAsia" w:ascii="宋体" w:hAnsi="宋体" w:cs="宋体"/>
          <w:b/>
          <w:bCs/>
          <w:color w:val="auto"/>
          <w:kern w:val="0"/>
          <w:sz w:val="32"/>
          <w:highlight w:val="none"/>
        </w:rPr>
        <w:br w:type="page"/>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32"/>
          <w:highlight w:val="none"/>
        </w:rPr>
        <w:t>第三章   投标人须知</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一、总则</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1、适用范围</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1.1适用于招标文件载明项目的政府采购活动（以下简称：“本次采购活动”）。</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2、定义</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2.1“采购标的”指招标文件载明的需要采购的货物或服务。</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2.2“潜在投标人”指按照招标文件第一章第6条规定获取招标文件且有意向参加本项目投标的供应商。</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2.3“投标人”指按照招标文件第一章第6条规定获取招标文件并参加本项目投标的供应商。</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2.4“单位负责人”指单位法定代表人或法律、法规规定代表单位行使职权的主要负责人。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2.5“投标人代表”指投标人的单位负责人或“单位负责人授权书”中载明的接受授权方。</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3、合格投标人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3.1一般规定</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（2）投标人的资格要求：详见招标文件第一章。</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3.2若本项目接受联合体投标且投标人为联合体，则联合体各方应遵守本章第3.1条规定，同时还应遵守下列规定：</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（1）联合体各方应提交联合体协议，联合体协议应符合招标文件规定。</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（2）联合体各方不得再单独参加或与其他供应商另外组成联合体参加同一合同项下的投标。</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（3）联合体各方应共同与采购人签订政府采购合同，就政府采购合同约定的事项对采购人承担连带责任。</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4、投标费用</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4.1除招标文件另有规定外，投标人应自行承担其参加本项目投标所涉及的一切费用。</w:t>
      </w: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三、招标</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5、招标文件</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5.1招标文件由下述部分组成：</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（1）投标邀请</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（2）投标人须知前附表</w:t>
      </w:r>
      <w:r>
        <w:rPr>
          <w:rFonts w:hint="eastAsia" w:ascii="宋体" w:hAnsi="宋体" w:cs="宋体"/>
          <w:color w:val="auto"/>
          <w:kern w:val="0"/>
          <w:highlight w:val="none"/>
        </w:rPr>
        <w:t>（表1、2）</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（3）投标人须知</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（4）资格审查与评标</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（5）招标内容及要求</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（6）采购合同（参考文本）</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（7）投标文件格式</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（8）按照招标文件规定作为招标文件组成部分的其他内容（若有）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5.2招标文件的澄清或修改</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（1）建融建设管理集团有限责任公司 可对已发出的招标文件进行必要的澄清或修改，但不得对招标文件载明的采购标的和投标人的资格要求进行改变。</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（2）除本章第5.2条第（3）款规定情形外，澄清或修改的内容可能影响投标文件编制的，建融建设管理集团有限责任公司 将在投标截止时间至少15个日历日前，在招标文件载明的指定媒体以更正公告的形式发布澄清或修改的内容。不足15个日历日的，建融建设管理集团有限责任公司 将顺延投标截止时间及开标时间，建融建设管理集团有限责任公司 和投标人受原投标截止时间及开标时间制约的所有权利和义务均延长至新的投标截止时间及开标时间。</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（3）澄清或修改的内容可能改变招标文件载明的采购标的和投标人的资格要求的，本次采购活动结束，建融建设管理集团有限责任公司 将依法组织后续采购活动（包括但不限于：重新招标、采用其他方式采购等）。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6、现场考察或开标前答疑会</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6.1是否组织现场考察或召开开标前答疑会：详见招标文件第二章。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7、更正公告</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7.1若建融建设管理集团有限责任公司 发布更正公告，则更正公告及其所发布的内容或信息（包括但不限于：招标文件的澄清或修改、现场考察或答疑会的有关事宜等）</w:t>
      </w:r>
      <w:r>
        <w:rPr>
          <w:rStyle w:val="27"/>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7.2更正公告作为建融建设管理集团有限责任公司 通知所有潜在投标人的书面形式。</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8、终止公告</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8.1若出现因重大变故导致采购任务取消情形，建融建设管理集团有限责任公司 可终止招标并发布终止公告。</w:t>
      </w:r>
    </w:p>
    <w:p>
      <w:pPr>
        <w:pStyle w:val="19"/>
        <w:snapToGrid w:val="0"/>
        <w:spacing w:line="460" w:lineRule="exact"/>
        <w:rPr>
          <w:rFonts w:ascii="宋体" w:hAnsi="宋体" w:cs="宋体"/>
          <w:b/>
          <w:color w:val="auto"/>
          <w:kern w:val="0"/>
          <w:sz w:val="28"/>
          <w:szCs w:val="28"/>
          <w:highlight w:val="none"/>
        </w:rPr>
      </w:pPr>
      <w:r>
        <w:rPr>
          <w:rFonts w:hint="eastAsia" w:ascii="宋体" w:hAnsi="宋体" w:cs="宋体"/>
          <w:color w:val="auto"/>
          <w:highlight w:val="none"/>
        </w:rPr>
        <w:t>8.2终止公告作为建融建设管理集团有限责任公司 通知所有潜在投标人的书面形式。</w:t>
      </w: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四、投标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9.1投标人可对招标文件载明的全部或部分采购包进行投标。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9.2投标人应对同一个采购包内的所有内容进行完整投标，否则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9.3投标人代表只能接受一个投标人的授权参加投标，否则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9.4单位负责人为同一人或存在直接控股、管理关系的不同供应商，不得同时参加同一合同项下的投标，否则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9.7有下列情形之一的，视为投标人串通投标，</w:t>
      </w:r>
      <w:r>
        <w:rPr>
          <w:rStyle w:val="27"/>
          <w:rFonts w:hint="eastAsia" w:ascii="宋体" w:hAnsi="宋体" w:cs="宋体"/>
          <w:color w:val="auto"/>
          <w:highlight w:val="none"/>
        </w:rPr>
        <w:t>其投标无效：</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（1）不同投标人的投标文件由同一单位或个人编制；</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（2）不同投标人委托同一单位或个人办理投标事宜；</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（3）不同投标人的投标文件载明的项目管理成员或联系人员为同一人；</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（4）不同投标人的投标文件异常一致或投标报价呈规律性差异；</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（5）不同投标人的投标文件相互混装；</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（6）不同投标人的投标保证金从同一单位或个人的账户转出；</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（7）不同投标人的投标文件制作工具MAC地址一致。</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（8）有关法律、法规和规章及招标文件规定的其他串通投标情形。</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10、投标文件</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10.1投标文件的编制</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（1）投标人应先仔细阅读招标文件的全部内容后，再进行投标文件的编制。</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（2）投标文件应按照本章第10.2条规定编制其组成部分。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10.2投标文件由下述部分组成：</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（1）资格及资信证明部分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①投标函</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②投标人的资格及资信证明文件</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③投标保证金</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（2）报价部分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①开标一览表</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②投标分项报价表</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③招标文件规定的价格扣除证明材料（若有）</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④招标文件规定的加分证明材料（若有）</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（3）技术商务部分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①标的说明一览表</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②技术和服务要求响应表</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③商务条件响应表</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④投标人提交的其他资料（若有）</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⑤招标文件规定作为投标文件组成部分的其他内容（若有）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10.3投标文件的语言</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（1）除招标文件另有规定外，投标文件应使用中文文本，若有不同文本，以中文文本为准。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10.4投标文件的份数：详见招标文件第二章。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10.5投标文件的格式</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（1）除招标文件另有规定外，投标文件应使用招标文件第七章规定的格式。</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（2）除招标文件另有规定外，投标文件的正本和全部副本均应使用不能擦去的墨料或墨水打印、书写或复印，其中：</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①正本应用A4幅面纸张打印装订，编制封面（封面标明“正本”字样）、索引、页码，并用胶装装订成册。</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③允许散装或活页装订的内容或材料：详见招标文件第二章。</w:t>
      </w:r>
    </w:p>
    <w:p>
      <w:pPr>
        <w:pStyle w:val="19"/>
        <w:snapToGrid w:val="0"/>
        <w:spacing w:line="460" w:lineRule="exact"/>
        <w:ind w:firstLine="480"/>
        <w:rPr>
          <w:rFonts w:ascii="宋体" w:hAnsi="宋体" w:cs="宋体"/>
          <w:color w:val="auto"/>
          <w:highlight w:val="none"/>
        </w:rPr>
      </w:pPr>
      <w:r>
        <w:rPr>
          <w:rStyle w:val="27"/>
          <w:rFonts w:hint="eastAsia" w:ascii="宋体" w:hAnsi="宋体" w:cs="宋体"/>
          <w:color w:val="auto"/>
          <w:highlight w:val="none"/>
        </w:rPr>
        <w:t>※除本章第10.5条第（2）款第③点规定情形外，投标文件散装或活页装订将导致投标无效。</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（3）除招标文件另有规定外，投标文件应使用人民币作为计量货币。</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（4）除招标文件另有规定外，签署、盖章应遵守下列规定：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①投标文件应由投标人代表签字并加盖投标人的单位公章。若投标人代表为单位授权的委托代理人，应提供“单位授权书”。</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②投标文件应没有涂改或行间插字，除非这些改动是根据建融建设管理集团有限责任公司 的指示进行的，或是为改正投标人造成的应修改的错误而进行的。若有前述改动，应按照下列规定之一对改动处进行处理：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a.投标人代表签字确认；</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b.加盖投标人的单位公章或校正章。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10.6投标报价</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（1）投标报价超出最高限价将导致</w:t>
      </w:r>
      <w:r>
        <w:rPr>
          <w:rFonts w:hint="eastAsia" w:ascii="宋体" w:hAnsi="宋体" w:cs="宋体"/>
          <w:b/>
          <w:bCs/>
          <w:color w:val="auto"/>
          <w:kern w:val="0"/>
          <w:sz w:val="24"/>
          <w:highlight w:val="none"/>
        </w:rPr>
        <w:t>投标无效。</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（2）最高限价由采购人根据价格测算情况，在预算金额的额度内合理设定。最高限价不得超出预算金额。</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cs="宋体"/>
          <w:b/>
          <w:bCs/>
          <w:color w:val="auto"/>
          <w:kern w:val="0"/>
          <w:sz w:val="24"/>
          <w:highlight w:val="none"/>
        </w:rPr>
        <w:t>投标无效。</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10.7分包</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（1）是否允许中标人将本项目的非主体、非关键性工作进行分包：详见招标文件第二章。</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①投标文件中未载明分包承担主体；</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②投标文件载明的分包承担主体不具备相应资质条件；</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③投标文件载明的分包承担主体拟再次分包。</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④享受中小企业扶持政策获得政府采购合同的，小微企业不得将合同分包给大中型企业，中型企业不得将合同分包给大型企业。</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10.8投标有效期</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（1）招标文件载明的投标有效期：详见招标文件第二章。</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（2）投标文件承诺的投标有效期不得少于招标文件载明的投标有效期，否则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（3）根据本次采购活动的需要，建融建设管理集团有限责任公司 可于投标有效期届满之前书面要求投标人延长投标有效期，投标人应在建融建设管理集团有限责任公司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10.9投标保证金</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（1）投标保证金作为投标人按照招标文件规定履行相应投标责任、义务的约束及担保。</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（2）投标保证金的有效期应与投标文件承诺的投标有效期保持一致，否则</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（3）提交</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①投标人应从其银行账户</w:t>
      </w:r>
      <w:r>
        <w:rPr>
          <w:rStyle w:val="27"/>
          <w:rFonts w:hint="eastAsia" w:ascii="宋体" w:hAnsi="宋体" w:cs="宋体"/>
          <w:color w:val="auto"/>
          <w:highlight w:val="none"/>
        </w:rPr>
        <w:t>（基本存款账户）</w:t>
      </w:r>
      <w:r>
        <w:rPr>
          <w:rFonts w:hint="eastAsia" w:ascii="宋体" w:hAnsi="宋体" w:cs="宋体"/>
          <w:color w:val="auto"/>
          <w:highlight w:val="none"/>
        </w:rPr>
        <w:t>按照下列方式：</w:t>
      </w:r>
      <w:r>
        <w:rPr>
          <w:rStyle w:val="27"/>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w:t>
      </w:r>
      <w:r>
        <w:rPr>
          <w:rFonts w:hint="eastAsia" w:ascii="宋体" w:hAnsi="宋体" w:cs="宋体"/>
          <w:color w:val="auto"/>
          <w:kern w:val="0"/>
          <w:highlight w:val="none"/>
        </w:rPr>
        <w:t>第一章</w:t>
      </w:r>
      <w:r>
        <w:rPr>
          <w:rFonts w:hint="eastAsia" w:ascii="宋体" w:hAnsi="宋体" w:cs="宋体"/>
          <w:color w:val="auto"/>
          <w:highlight w:val="none"/>
        </w:rPr>
        <w:t>。</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③若本项目接受联合体投标且投标人为联合体，则联合体中的牵头方应按照本章第10.9条第（3）款第①、②点规定提交投标保证金。</w:t>
      </w:r>
    </w:p>
    <w:p>
      <w:pPr>
        <w:pStyle w:val="19"/>
        <w:snapToGrid w:val="0"/>
        <w:spacing w:line="460" w:lineRule="exact"/>
        <w:rPr>
          <w:rFonts w:ascii="宋体" w:hAnsi="宋体" w:cs="宋体"/>
          <w:color w:val="auto"/>
          <w:highlight w:val="none"/>
        </w:rPr>
      </w:pPr>
      <w:r>
        <w:rPr>
          <w:rStyle w:val="27"/>
          <w:rFonts w:hint="eastAsia" w:ascii="宋体" w:hAnsi="宋体" w:cs="宋体"/>
          <w:color w:val="auto"/>
          <w:highlight w:val="none"/>
        </w:rPr>
        <w:t>※除招标文件另有规定外，未按照上述规定提交投标保证金将导致资格审查不合格。</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（4）退还</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①在投标截止时间前撤回已提交的投标文件的投标人，其投标保证金将在建融建设管理集团有限责任公司 收到投标人书面撤回通知之日起5个工作日内退回原账户。</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②未中标人的投标保证金将在中标通知书发出之日起5个工作日内退回原账户。</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③中标人的投标保证金将在政府采购合同签订之日起5个工作日内退回原账户；</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④终止招标的，建融建设管理集团有限责任公司 将在终止公告发布之日起5个工作日内退回已收取的投标保证金及其在银行产生的孳息。</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pPr>
        <w:pStyle w:val="19"/>
        <w:snapToGrid w:val="0"/>
        <w:spacing w:line="460" w:lineRule="exact"/>
        <w:ind w:firstLine="480"/>
        <w:rPr>
          <w:rFonts w:ascii="宋体" w:hAnsi="宋体" w:cs="宋体"/>
          <w:color w:val="auto"/>
          <w:highlight w:val="none"/>
        </w:rPr>
      </w:pPr>
      <w:r>
        <w:rPr>
          <w:rStyle w:val="27"/>
          <w:rFonts w:hint="eastAsia" w:ascii="宋体" w:hAnsi="宋体" w:cs="宋体"/>
          <w:color w:val="auto"/>
          <w:highlight w:val="none"/>
        </w:rPr>
        <w:t>※本章第10.9条第（4）款第①、②、③点规定的投标保证金退还时限不包括因投标人自身原因导致无法及时退还而增加的时间。</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（6）有下列情形之一的，投标保证金将不予退还：</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①投标人串通投标；</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②投标人提供虚假材料；</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③投标人采取不正当手段诋毁、排挤其他投标人；</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④投标截止时间后，投标人在投标有效期内撤销投标文件；</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⑤招标文件规定的其他不予退还情形；</w:t>
      </w:r>
    </w:p>
    <w:p>
      <w:pPr>
        <w:pStyle w:val="19"/>
        <w:snapToGrid w:val="0"/>
        <w:spacing w:line="460" w:lineRule="exact"/>
        <w:ind w:firstLine="480"/>
        <w:rPr>
          <w:rStyle w:val="27"/>
          <w:rFonts w:ascii="宋体" w:hAnsi="宋体" w:cs="宋体"/>
          <w:color w:val="auto"/>
          <w:highlight w:val="none"/>
        </w:rPr>
      </w:pPr>
      <w:r>
        <w:rPr>
          <w:rStyle w:val="27"/>
          <w:rFonts w:hint="eastAsia" w:ascii="宋体" w:hAnsi="宋体" w:cs="宋体"/>
          <w:color w:val="auto"/>
          <w:highlight w:val="none"/>
        </w:rPr>
        <w:t>⑥中标人有下列情形之一的：</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a.除不可抗力外，因中标人自身原因未在中标通知书要求的期限内与采购人签订政府采购合同；</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b.未按照招标文件、投标文件的约定签订政府采购合同或提交履约保证金。</w:t>
      </w:r>
    </w:p>
    <w:p>
      <w:pPr>
        <w:pStyle w:val="19"/>
        <w:snapToGrid w:val="0"/>
        <w:spacing w:line="460" w:lineRule="exact"/>
        <w:ind w:firstLine="480"/>
        <w:rPr>
          <w:rFonts w:ascii="宋体" w:hAnsi="宋体" w:cs="宋体"/>
          <w:color w:val="auto"/>
          <w:highlight w:val="none"/>
        </w:rPr>
      </w:pPr>
      <w:r>
        <w:rPr>
          <w:rStyle w:val="27"/>
          <w:rFonts w:hint="eastAsia" w:ascii="宋体" w:hAnsi="宋体" w:cs="宋体"/>
          <w:color w:val="auto"/>
          <w:highlight w:val="none"/>
        </w:rPr>
        <w:t>※若上述投标保证金不予退还情形给采购人（采购代理机构）造成损失，则投标人还要承担相应的赔偿责任。</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10.10投标文件的提交</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（1）一个投标人只能提交一个投标文件，并按照招标文件第一章规定将其送达。</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（2）密封及其标记的具体形式：详见招标文件第二章。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10.11投标文件的补充、修改或撤回</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（1）投标截止时间前，投标人可对所提交的投标文件进行补充、修改或撤回，并书面通知建融建设管理集团有限责任公司 。</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（2）补充、修改的内容应按照本章第10.5条第（4）款规定进行签署、盖章，并按照本章第10.10条规定提交，</w:t>
      </w:r>
      <w:r>
        <w:rPr>
          <w:rStyle w:val="27"/>
          <w:rFonts w:hint="eastAsia" w:ascii="宋体" w:hAnsi="宋体" w:cs="宋体"/>
          <w:color w:val="auto"/>
          <w:highlight w:val="none"/>
        </w:rPr>
        <w:t>否则将被拒收。</w:t>
      </w:r>
    </w:p>
    <w:p>
      <w:pPr>
        <w:pStyle w:val="19"/>
        <w:snapToGrid w:val="0"/>
        <w:spacing w:line="460" w:lineRule="exact"/>
        <w:ind w:firstLine="480"/>
        <w:rPr>
          <w:rFonts w:ascii="宋体" w:hAnsi="宋体" w:cs="宋体"/>
          <w:color w:val="auto"/>
          <w:highlight w:val="none"/>
        </w:rPr>
      </w:pPr>
      <w:r>
        <w:rPr>
          <w:rStyle w:val="27"/>
          <w:rFonts w:hint="eastAsia" w:ascii="宋体" w:hAnsi="宋体" w:cs="宋体"/>
          <w:color w:val="auto"/>
          <w:highlight w:val="none"/>
        </w:rPr>
        <w:t>※按照上述规定提交的补充、修改内容作为投标文件组成部分。</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10.12除招标文件另有规定外，有下列情形之一的，</w:t>
      </w:r>
      <w:r>
        <w:rPr>
          <w:rStyle w:val="27"/>
          <w:rFonts w:hint="eastAsia" w:ascii="宋体" w:hAnsi="宋体" w:cs="宋体"/>
          <w:color w:val="auto"/>
          <w:highlight w:val="none"/>
        </w:rPr>
        <w:t>投标无效</w:t>
      </w:r>
      <w:r>
        <w:rPr>
          <w:rFonts w:hint="eastAsia" w:ascii="宋体" w:hAnsi="宋体" w:cs="宋体"/>
          <w:color w:val="auto"/>
          <w:highlight w:val="none"/>
        </w:rPr>
        <w:t>：</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（1）投标文件未按照招标文件要求签署、盖章；</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（2）不符合招标文件中规定的资格要求；</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（3）投标报价超过招标文件中规定的预算金额或最高限价；</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（4）投标文件含有采购人不能接受的附加条件；</w:t>
      </w:r>
    </w:p>
    <w:p>
      <w:pPr>
        <w:pStyle w:val="19"/>
        <w:snapToGrid w:val="0"/>
        <w:spacing w:line="460" w:lineRule="exact"/>
        <w:ind w:firstLine="480"/>
        <w:rPr>
          <w:rStyle w:val="27"/>
          <w:rFonts w:ascii="宋体" w:hAnsi="宋体" w:cs="宋体"/>
          <w:color w:val="auto"/>
          <w:highlight w:val="none"/>
        </w:rPr>
      </w:pPr>
      <w:r>
        <w:rPr>
          <w:rFonts w:hint="eastAsia" w:ascii="宋体" w:hAnsi="宋体" w:cs="宋体"/>
          <w:color w:val="auto"/>
          <w:highlight w:val="none"/>
        </w:rPr>
        <w:t>（5）有关法律、法规和规章及招标文件规定的其他无效情形。</w:t>
      </w: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五、开标</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11、开标</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11.1建融建设管理集团有限责任公司 将在招标文件载明的开标时间及地点主持召开开标会，并邀请投标人参加。</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11.2开标会的主持人、唱标人、记录人及其他工作人员（若有）均由</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派出，现场监督人员（若有）可由有关方面派出。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11.3参加现场开标会的投标人应签到。</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11.4开标会应遵守下列规定：</w:t>
      </w:r>
    </w:p>
    <w:p>
      <w:pPr>
        <w:pStyle w:val="19"/>
        <w:snapToGrid w:val="0"/>
        <w:spacing w:line="460" w:lineRule="exact"/>
        <w:ind w:firstLine="480" w:firstLineChars="200"/>
        <w:rPr>
          <w:rFonts w:ascii="宋体" w:hAnsi="宋体" w:cs="宋体"/>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pPr>
        <w:pStyle w:val="19"/>
        <w:snapToGrid w:val="0"/>
        <w:spacing w:line="460" w:lineRule="exact"/>
        <w:ind w:firstLine="480" w:firstLineChars="200"/>
        <w:rPr>
          <w:rFonts w:ascii="宋体" w:hAnsi="宋体" w:cs="宋体"/>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（3）记录人对唱标人宣布的内容作开标记录。</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pPr>
        <w:pStyle w:val="19"/>
        <w:snapToGrid w:val="0"/>
        <w:spacing w:line="460" w:lineRule="exact"/>
        <w:ind w:firstLine="480"/>
        <w:rPr>
          <w:rFonts w:ascii="宋体" w:hAnsi="宋体" w:cs="宋体"/>
          <w:color w:val="auto"/>
          <w:highlight w:val="none"/>
        </w:rPr>
      </w:pPr>
      <w:r>
        <w:rPr>
          <w:rStyle w:val="27"/>
          <w:rFonts w:hint="eastAsia" w:ascii="宋体" w:hAnsi="宋体" w:cs="宋体"/>
          <w:color w:val="auto"/>
          <w:highlight w:val="none"/>
        </w:rPr>
        <w:t>※若出现本章第11.4条第（4）、（5）、（6）款规定情形之一</w:t>
      </w:r>
      <w:r>
        <w:rPr>
          <w:rFonts w:hint="eastAsia" w:ascii="宋体" w:hAnsi="宋体" w:cs="宋体"/>
          <w:color w:val="auto"/>
          <w:highlight w:val="none"/>
        </w:rPr>
        <w:t>，</w:t>
      </w:r>
      <w:r>
        <w:rPr>
          <w:rStyle w:val="27"/>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rPr>
        <w:t xml:space="preserve">建融建设管理集团有限责任公司 </w:t>
      </w:r>
      <w:r>
        <w:rPr>
          <w:rStyle w:val="27"/>
          <w:rFonts w:hint="eastAsia" w:ascii="宋体" w:hAnsi="宋体" w:cs="宋体"/>
          <w:color w:val="auto"/>
          <w:highlight w:val="none"/>
        </w:rPr>
        <w:t>提出任何疑义或要求（包括质疑）。</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11.5投标截止时间后，参加投标的投标人不足三家的，不进行开标。同时，本次采购活动结束，建融建设管理集团有限责任公司 将依法组织后续采购活动（包括但不限于：重新招标、采用其他方式采购等）。</w:t>
      </w:r>
    </w:p>
    <w:p>
      <w:pPr>
        <w:pStyle w:val="19"/>
        <w:snapToGrid w:val="0"/>
        <w:spacing w:line="460" w:lineRule="exact"/>
        <w:rPr>
          <w:rFonts w:ascii="宋体" w:hAnsi="宋体" w:cs="宋体"/>
          <w:color w:val="auto"/>
          <w:highlight w:val="none"/>
        </w:rPr>
      </w:pPr>
      <w:r>
        <w:rPr>
          <w:rFonts w:hint="eastAsia" w:ascii="宋体" w:hAnsi="宋体" w:cs="宋体"/>
          <w:color w:val="auto"/>
          <w:kern w:val="0"/>
          <w:highlight w:val="none"/>
        </w:rPr>
        <w:t>11.6投标截止时间后撤销投标的处理</w:t>
      </w:r>
      <w:r>
        <w:rPr>
          <w:rFonts w:hint="eastAsia" w:ascii="宋体" w:hAnsi="宋体" w:cs="宋体"/>
          <w:color w:val="auto"/>
          <w:kern w:val="0"/>
          <w:highlight w:val="none"/>
        </w:rPr>
        <w:br w:type="textWrapping"/>
      </w:r>
      <w:r>
        <w:rPr>
          <w:rFonts w:hint="eastAsia" w:ascii="宋体" w:hAnsi="宋体" w:cs="宋体"/>
          <w:color w:val="auto"/>
          <w:kern w:val="0"/>
          <w:highlight w:val="none"/>
        </w:rPr>
        <w:t>  投标截止时间后，投标人在投标有效期内撤销投标的，其撤销投标的行为无效。   </w:t>
      </w: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六、中标与政府采购合同</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12、中标</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12.1本项目推荐的中标候选人家数：详见招标文件第二章。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12.2本项目中标人的确定：详见招标文件第二章。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12.3中标公告</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（1）中标人确定之日起2个工作日内，</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将在招标文件载明的指定媒体以中标公告的形式发布中标结果。</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（2）中标公告的公告期限为1个工作日。</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12.4中标通知书</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（1）中标公告发布的同时，建融建设管理集团有限责任公司 将向中标人发出中标通知书。</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（2）中标通知书发出后，采购人不得违法改变中标结果，中标人无正当理由不得放弃中标。</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13、政府采购合同</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13.2签订时限：</w:t>
      </w:r>
      <w:r>
        <w:rPr>
          <w:rFonts w:hint="eastAsia" w:ascii="宋体" w:hAnsi="宋体" w:cs="宋体"/>
          <w:b/>
          <w:bCs/>
          <w:color w:val="auto"/>
          <w:highlight w:val="none"/>
        </w:rPr>
        <w:t>自中标通知书发出之日起30个工作日内。</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13.3政府采购合同的履行、违约责任和解决争议的方法等适用</w:t>
      </w:r>
      <w:r>
        <w:rPr>
          <w:rFonts w:hint="eastAsia" w:ascii="宋体" w:hAnsi="宋体" w:cs="宋体"/>
          <w:color w:val="auto"/>
          <w:kern w:val="0"/>
          <w:highlight w:val="none"/>
        </w:rPr>
        <w:t>民法典</w:t>
      </w:r>
      <w:r>
        <w:rPr>
          <w:rFonts w:hint="eastAsia" w:ascii="宋体" w:hAnsi="宋体" w:cs="宋体"/>
          <w:color w:val="auto"/>
          <w:highlight w:val="none"/>
        </w:rPr>
        <w:t>。</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13.4采购人与中标人应根据政府采购合同的约定依法履行合同义务。</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13.5政府采购合同履行过程中，采购人若需追加与合同标的相同的货物或服务，则追加采购金额不得超过原合同采购金额的10%。</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13.6中标人在政府采购合同履行过程中应遵守有关法律、法规和规章的强制性规定（即使前述强制性规定有可能在招标文件中未予列明）。</w:t>
      </w:r>
    </w:p>
    <w:p>
      <w:pPr>
        <w:pStyle w:val="19"/>
        <w:snapToGrid w:val="0"/>
        <w:spacing w:line="460" w:lineRule="exact"/>
        <w:rPr>
          <w:rFonts w:ascii="宋体" w:hAnsi="宋体" w:cs="宋体"/>
          <w:color w:val="auto"/>
          <w:highlight w:val="none"/>
        </w:rPr>
      </w:pP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七、询问、质疑与投诉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14、询问</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14.1潜在投标人或投标人对本次采购活动的有关事项若有疑问，可向建融建设管理集团有限责任公司 提出询问，建融建设管理集团有限责任公司 将按照政府采购法及实施条例的有关规定进行答复。</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15、质疑</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kern w:val="0"/>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（2）质疑人应按照招标文件第二章规定方式提交质疑函。</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（3）质疑函应包括下列主要内容：</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①质疑人的基本信息，至少包括：全称、地址、邮政编码等；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②所质疑项目的基本信息，至少包括：项目编号、项目名称等；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③所质疑的具体事项（以下简称：“质疑事项”）；</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④针对质疑事项提出的明确请求，前述明确请求指质疑人提出质疑的目的以及希望建融建设管理集团有限责任公司 对其质疑作出的处理结果，如：暂停招标投标活动、修改招标文件、停止或纠正违法违规行为、中标结果无效、废标、重新招标等；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⑤针对质疑事项导致质疑人自身权益受到损害的必要证明材料，至少包括：</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a.质疑人代表的身份证明材料：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a2若本项目接受自然人投标且质疑人为自然人的，提供本人的身份证复印件。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b.其他证明材料（即事实依据和必要的法律依据）包括但不限于下列材料：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b1所质疑的具体事项是与自已有利害关系的证明材料；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b2质疑函所述事实存在的证明材料，如：采购文件、采购过程或中标结果违法违规或不符合采购文件要求等证明材料；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b3依法应终止采购程序的证明材料；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b4应重新采购的证明材料；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b5采购文件、采购过程或中标、成交结果损害自已合法权益的证明材料等；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cs="宋体"/>
          <w:b/>
          <w:bCs/>
          <w:color w:val="auto"/>
          <w:kern w:val="0"/>
          <w:sz w:val="24"/>
          <w:highlight w:val="none"/>
        </w:rPr>
        <w:t>视为无效</w:t>
      </w:r>
      <w:r>
        <w:rPr>
          <w:rFonts w:hint="eastAsia" w:ascii="宋体" w:hAnsi="宋体" w:cs="宋体"/>
          <w:color w:val="auto"/>
          <w:kern w:val="0"/>
          <w:sz w:val="24"/>
          <w:highlight w:val="none"/>
        </w:rPr>
        <w: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⑥质疑人代表及其联系方法的信息，至少包括：姓名、手机、电子信箱、邮寄地址等。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⑦提出质疑的日期。</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15.2对不符合本章第15.1条规定的质疑，将按照下列规定进行处理：</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（1）不符合其中第（1）、（2）条规定的，书面告知质疑人不予受理及其理由。</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（2）不符合其中第（3）条规定的，书面告知质疑人修改、补充后在规定时限内重新提交质疑函。</w:t>
      </w:r>
    </w:p>
    <w:p>
      <w:pPr>
        <w:widowControl/>
        <w:snapToGrid w:val="0"/>
        <w:spacing w:line="460" w:lineRule="exact"/>
        <w:jc w:val="left"/>
        <w:rPr>
          <w:rFonts w:ascii="宋体" w:hAnsi="宋体" w:cs="宋体"/>
          <w:color w:val="auto"/>
          <w:highlight w:val="none"/>
        </w:rPr>
      </w:pPr>
      <w:r>
        <w:rPr>
          <w:rFonts w:hint="eastAsia" w:ascii="宋体" w:hAnsi="宋体" w:cs="宋体"/>
          <w:color w:val="auto"/>
          <w:kern w:val="0"/>
          <w:sz w:val="24"/>
          <w:highlight w:val="none"/>
        </w:rPr>
        <w:t>15.3对符合本章第15.1条规定的质疑，将按照政府采购法及实施条例、政府采购质疑和投诉办法的有关规定进行答复。</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15.4招标文件的质疑：详见招标文件第二章。</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16、投诉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16.2投诉应有明确的请求和必要的证明材料，投诉的事项不得超出已质疑事项的范围。</w:t>
      </w:r>
    </w:p>
    <w:p>
      <w:pPr>
        <w:pStyle w:val="19"/>
        <w:snapToGrid w:val="0"/>
        <w:spacing w:line="460" w:lineRule="exact"/>
        <w:rPr>
          <w:rFonts w:ascii="宋体" w:hAnsi="宋体" w:cs="宋体"/>
          <w:color w:val="auto"/>
          <w:highlight w:val="none"/>
        </w:rPr>
      </w:pP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八、政府采购政策</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pPr>
        <w:pStyle w:val="19"/>
        <w:snapToGrid w:val="0"/>
        <w:spacing w:line="460" w:lineRule="exact"/>
        <w:rPr>
          <w:rFonts w:ascii="宋体" w:hAnsi="宋体" w:cs="宋体"/>
          <w:color w:val="auto"/>
          <w:highlight w:val="none"/>
        </w:rPr>
      </w:pPr>
      <w:r>
        <w:rPr>
          <w:rFonts w:hint="eastAsia" w:ascii="宋体" w:hAnsi="宋体" w:cs="宋体"/>
          <w:color w:val="auto"/>
          <w:highlight w:val="none"/>
        </w:rPr>
        <w:t>17.1进口产品指通过中国海关报关验放进入中国境内且产自关境外的产品，其中：</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（1）中小企业指符合下列条件的中型、小型、微型企业：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②符合中小企业划分标准的个体工商户，在政府采购活动中视同中小企业。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（2）在政府采购活动中，供应商提供的货物、工程或者服务符合下列情形的，享受本办法规定的中小企业扶持政策：</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①在货物采购项目中，货物由中小企业制造，即货物由中小企业生产且使用该中小企业商号或者注册商标；</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②在工程采购项目中，工程由中小企业承建，即工程施工单位为中小企业；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③在服务采购项目中，服务由中小企业承接，即提供服务的人员为中小企业依照《中华人民共和国劳动合同法》 订立劳动合同的从业人员。</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 xml:space="preserve">在货物采购项目中，供应商提供的货物既有中小企业制造货物，也有大型企业制造货物的，不享受本办法规定的中小企业扶持政策。 </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②监狱企业视同小型、微型企业。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（4）残疾人福利性单位指同时符合下列条件的单位：</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①安置的残疾人占本单位在职职工人数的比例不低于25%（含25%），并且安置的残疾人人数不少于10人（含10人）；</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②依法与安置的每位残疾人签订了一年以上（含一年）的劳动合同或服务协议；</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17.5信用记录指由财政部确定的有关网站提供的相关主体信用信息。信用记录的查询及使用应符合财政部文件（财库[2016]125号）规定。</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17.6为落实政府采购政策需满足的要求：详见招标文件第一章。</w:t>
      </w:r>
    </w:p>
    <w:p>
      <w:pPr>
        <w:widowControl/>
        <w:snapToGrid w:val="0"/>
        <w:spacing w:line="460" w:lineRule="exact"/>
        <w:jc w:val="left"/>
        <w:rPr>
          <w:rFonts w:ascii="宋体" w:hAnsi="宋体" w:cs="宋体"/>
          <w:b/>
          <w:color w:val="auto"/>
          <w:sz w:val="24"/>
          <w:highlight w:val="none"/>
        </w:rPr>
      </w:pPr>
      <w:r>
        <w:rPr>
          <w:rFonts w:hint="eastAsia" w:ascii="宋体" w:hAnsi="宋体" w:cs="宋体"/>
          <w:color w:val="auto"/>
          <w:kern w:val="0"/>
          <w:sz w:val="24"/>
          <w:highlight w:val="none"/>
        </w:rPr>
        <w:t> </w:t>
      </w:r>
    </w:p>
    <w:p>
      <w:pPr>
        <w:pStyle w:val="19"/>
        <w:snapToGrid w:val="0"/>
        <w:spacing w:line="460" w:lineRule="exact"/>
        <w:jc w:val="center"/>
        <w:rPr>
          <w:rFonts w:ascii="宋体" w:hAnsi="宋体" w:cs="宋体"/>
          <w:color w:val="auto"/>
          <w:highlight w:val="none"/>
        </w:rPr>
      </w:pPr>
      <w:r>
        <w:rPr>
          <w:rStyle w:val="27"/>
          <w:rFonts w:hint="eastAsia" w:ascii="宋体" w:hAnsi="宋体" w:cs="宋体"/>
          <w:color w:val="auto"/>
          <w:highlight w:val="none"/>
        </w:rPr>
        <w:t>九、本项目的有关信息</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18.1指定媒体：详见招标文件第二章。</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十、其他事项</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19、其他事项：详见招标文件第二章。</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9"/>
        <w:snapToGrid w:val="0"/>
        <w:spacing w:line="460" w:lineRule="exact"/>
        <w:ind w:firstLine="480"/>
        <w:rPr>
          <w:rFonts w:ascii="宋体" w:hAnsi="宋体" w:cs="宋体"/>
          <w:color w:val="auto"/>
          <w:highlight w:val="none"/>
        </w:rPr>
      </w:pPr>
      <w:r>
        <w:rPr>
          <w:rFonts w:hint="eastAsia" w:ascii="宋体" w:hAnsi="宋体" w:cs="宋体"/>
          <w:color w:val="auto"/>
          <w:kern w:val="0"/>
          <w:highlight w:val="none"/>
        </w:rPr>
        <w:t> 19.2其他：详见招标文件第二章。</w:t>
      </w:r>
    </w:p>
    <w:p>
      <w:pPr>
        <w:pStyle w:val="19"/>
        <w:spacing w:before="75" w:after="75" w:line="360" w:lineRule="auto"/>
        <w:jc w:val="center"/>
        <w:rPr>
          <w:rFonts w:ascii="宋体" w:hAnsi="宋体" w:cs="宋体"/>
          <w:color w:val="auto"/>
          <w:highlight w:val="none"/>
        </w:rPr>
      </w:pPr>
      <w:r>
        <w:rPr>
          <w:rStyle w:val="27"/>
          <w:rFonts w:hint="eastAsia" w:ascii="宋体" w:hAnsi="宋体" w:cs="宋体"/>
          <w:color w:val="auto"/>
          <w:sz w:val="32"/>
          <w:szCs w:val="32"/>
          <w:highlight w:val="none"/>
        </w:rPr>
        <w:t>第四章   资格审查与评标</w:t>
      </w:r>
    </w:p>
    <w:p>
      <w:pPr>
        <w:pStyle w:val="19"/>
        <w:spacing w:before="75" w:after="75" w:line="360" w:lineRule="auto"/>
        <w:jc w:val="center"/>
        <w:rPr>
          <w:rFonts w:ascii="宋体" w:hAnsi="宋体" w:cs="宋体"/>
          <w:color w:val="auto"/>
          <w:highlight w:val="none"/>
        </w:rPr>
      </w:pPr>
      <w:r>
        <w:rPr>
          <w:rStyle w:val="27"/>
          <w:rFonts w:hint="eastAsia" w:ascii="宋体" w:hAnsi="宋体" w:cs="宋体"/>
          <w:color w:val="auto"/>
          <w:highlight w:val="none"/>
        </w:rPr>
        <w:t>一、资格审查</w:t>
      </w:r>
    </w:p>
    <w:p>
      <w:pPr>
        <w:pStyle w:val="19"/>
        <w:widowControl/>
        <w:spacing w:before="75" w:after="75"/>
        <w:rPr>
          <w:color w:val="auto"/>
          <w:highlight w:val="none"/>
        </w:rPr>
      </w:pPr>
      <w:r>
        <w:rPr>
          <w:rFonts w:hint="eastAsia" w:ascii="宋体" w:hAnsi="宋体" w:cs="宋体"/>
          <w:color w:val="auto"/>
          <w:highlight w:val="none"/>
        </w:rPr>
        <w:t>1、开标结束后，由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负责资格审查小组的组建及资格审查工作的组织。</w:t>
      </w:r>
    </w:p>
    <w:p>
      <w:pPr>
        <w:pStyle w:val="19"/>
        <w:widowControl/>
        <w:spacing w:before="75" w:after="75"/>
        <w:rPr>
          <w:rFonts w:ascii="宋体" w:hAnsi="宋体" w:cs="宋体"/>
          <w:color w:val="auto"/>
          <w:highlight w:val="none"/>
        </w:rPr>
      </w:pPr>
      <w:r>
        <w:rPr>
          <w:rFonts w:hint="eastAsia" w:ascii="宋体" w:hAnsi="宋体" w:cs="宋体"/>
          <w:color w:val="auto"/>
          <w:highlight w:val="none"/>
        </w:rPr>
        <w:t>1.1资格审查小组由</w:t>
      </w:r>
      <w:r>
        <w:rPr>
          <w:rFonts w:ascii="Calibri" w:hAnsi="Calibri" w:cs="Calibri"/>
          <w:color w:val="auto"/>
          <w:highlight w:val="none"/>
        </w:rPr>
        <w:t>3</w:t>
      </w:r>
      <w:r>
        <w:rPr>
          <w:rFonts w:hint="eastAsia" w:ascii="宋体" w:hAnsi="宋体" w:cs="宋体"/>
          <w:color w:val="auto"/>
          <w:highlight w:val="none"/>
        </w:rPr>
        <w:t>人组成，并负责具体审查事务，其中：由采购人派出的采购人代表至少</w:t>
      </w:r>
      <w:r>
        <w:rPr>
          <w:rFonts w:hint="eastAsia" w:ascii="宋体" w:hAnsi="宋体" w:cs="宋体"/>
          <w:color w:val="auto"/>
          <w:highlight w:val="none"/>
          <w:u w:val="single"/>
        </w:rPr>
        <w:t>1</w:t>
      </w:r>
      <w:r>
        <w:rPr>
          <w:rFonts w:hint="eastAsia" w:ascii="宋体" w:hAnsi="宋体" w:cs="宋体"/>
          <w:color w:val="auto"/>
          <w:highlight w:val="none"/>
        </w:rPr>
        <w:t>人，由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派出的工作人员至少</w:t>
      </w:r>
      <w:r>
        <w:rPr>
          <w:rFonts w:hint="eastAsia" w:ascii="宋体" w:hAnsi="宋体" w:cs="宋体"/>
          <w:color w:val="auto"/>
          <w:highlight w:val="none"/>
          <w:u w:val="single"/>
        </w:rPr>
        <w:t>1</w:t>
      </w:r>
      <w:r>
        <w:rPr>
          <w:rFonts w:hint="eastAsia" w:ascii="宋体" w:hAnsi="宋体" w:cs="宋体"/>
          <w:color w:val="auto"/>
          <w:highlight w:val="none"/>
        </w:rPr>
        <w:t>人，其余</w:t>
      </w:r>
      <w:r>
        <w:rPr>
          <w:rFonts w:hint="eastAsia" w:ascii="宋体" w:hAnsi="宋体" w:cs="宋体"/>
          <w:color w:val="auto"/>
          <w:highlight w:val="none"/>
          <w:u w:val="single"/>
        </w:rPr>
        <w:t>1</w:t>
      </w:r>
      <w:r>
        <w:rPr>
          <w:rFonts w:hint="eastAsia" w:ascii="宋体" w:hAnsi="宋体" w:cs="宋体"/>
          <w:color w:val="auto"/>
          <w:highlight w:val="none"/>
        </w:rPr>
        <w:t>人可为采购人代表或</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的工作人员。</w:t>
      </w:r>
    </w:p>
    <w:p>
      <w:pPr>
        <w:pStyle w:val="19"/>
        <w:spacing w:line="360" w:lineRule="auto"/>
        <w:rPr>
          <w:rFonts w:ascii="宋体" w:hAnsi="宋体" w:cs="宋体"/>
          <w:color w:val="auto"/>
          <w:highlight w:val="none"/>
        </w:rPr>
      </w:pPr>
      <w:r>
        <w:rPr>
          <w:rFonts w:hint="eastAsia" w:ascii="宋体" w:hAnsi="宋体" w:cs="宋体"/>
          <w:color w:val="auto"/>
          <w:highlight w:val="none"/>
        </w:rPr>
        <w:t>1.2资格审查的依据是招标文件和投标文件。</w:t>
      </w:r>
    </w:p>
    <w:p>
      <w:pPr>
        <w:pStyle w:val="19"/>
        <w:spacing w:line="360" w:lineRule="auto"/>
        <w:rPr>
          <w:rFonts w:ascii="宋体" w:hAnsi="宋体" w:cs="宋体"/>
          <w:color w:val="auto"/>
          <w:highlight w:val="none"/>
        </w:rPr>
      </w:pPr>
      <w:r>
        <w:rPr>
          <w:rFonts w:hint="eastAsia" w:ascii="宋体" w:hAnsi="宋体" w:cs="宋体"/>
          <w:color w:val="auto"/>
          <w:highlight w:val="none"/>
        </w:rPr>
        <w:t>1.3资格审查的范围及内容：投标文件（资格及资信证明部分），具体如下：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numPr>
          <w:ilvl w:val="0"/>
          <w:numId w:val="2"/>
        </w:numPr>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一般资格证明文件：</w:t>
      </w:r>
    </w:p>
    <w:tbl>
      <w:tblPr>
        <w:tblStyle w:val="23"/>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28"/>
        <w:gridCol w:w="75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b/>
                <w:bCs/>
                <w:color w:val="auto"/>
                <w:highlight w:val="none"/>
              </w:rPr>
            </w:pPr>
            <w:r>
              <w:rPr>
                <w:rFonts w:ascii="宋体" w:hAnsi="宋体" w:cs="宋体"/>
                <w:b/>
                <w:bCs/>
                <w:color w:val="auto"/>
                <w:kern w:val="0"/>
                <w:sz w:val="24"/>
                <w:highlight w:val="none"/>
                <w:lang w:bidi="ar"/>
              </w:rPr>
              <w:t>明细</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b/>
                <w:bCs/>
                <w:color w:val="auto"/>
                <w:highlight w:val="none"/>
              </w:rPr>
            </w:pPr>
            <w:r>
              <w:rPr>
                <w:rFonts w:ascii="宋体" w:hAnsi="宋体" w:cs="宋体"/>
                <w:b/>
                <w:bCs/>
                <w:color w:val="auto"/>
                <w:kern w:val="0"/>
                <w:sz w:val="24"/>
                <w:highlight w:val="none"/>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（1）单位授权书</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（2）营业执照等证明文件</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（3）提供财务状况报告(财务报告、或资信证明）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（4）依法缴纳税收证明材料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（5）依法缴纳社会保障资金证明材料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（6）具备履行合同所必需设备和专业技术能力的声明函(若有)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（7）参加采购活动前三年内在经营活动中没有重大违法记录的声明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（8）信用记录查询结果</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（9）中小企业声明函（以资格条件落实中小企业扶持政策时适用 ）</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（10）联合体协议（若有）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①招标文件接受联合体投标且投标人为联合体的，投标人应提供本协议；否则无须提供。②本协议由委托代理人签字或盖章的，应按照招标文件第七章载明的格式提供“单位授权书”。</w:t>
            </w:r>
          </w:p>
        </w:tc>
      </w:tr>
    </w:tbl>
    <w:p>
      <w:pPr>
        <w:widowControl/>
        <w:spacing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②其他资格证明文件：</w:t>
      </w:r>
    </w:p>
    <w:tbl>
      <w:tblPr>
        <w:tblStyle w:val="23"/>
        <w:tblW w:w="966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44"/>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3344" w:type="dxa"/>
            <w:shd w:val="clear" w:color="auto" w:fill="auto"/>
            <w:vAlign w:val="center"/>
          </w:tcPr>
          <w:p>
            <w:pPr>
              <w:widowControl/>
              <w:snapToGrid w:val="0"/>
              <w:spacing w:line="460" w:lineRule="exact"/>
              <w:jc w:val="center"/>
              <w:rPr>
                <w:b/>
                <w:bCs/>
                <w:color w:val="auto"/>
                <w:highlight w:val="none"/>
              </w:rPr>
            </w:pPr>
            <w:r>
              <w:rPr>
                <w:rFonts w:ascii="宋体" w:hAnsi="宋体" w:cs="宋体"/>
                <w:b/>
                <w:bCs/>
                <w:color w:val="auto"/>
                <w:kern w:val="0"/>
                <w:sz w:val="24"/>
                <w:highlight w:val="none"/>
              </w:rPr>
              <w:t>明细</w:t>
            </w:r>
          </w:p>
        </w:tc>
        <w:tc>
          <w:tcPr>
            <w:tcW w:w="6317" w:type="dxa"/>
            <w:shd w:val="clear" w:color="auto" w:fill="auto"/>
            <w:vAlign w:val="center"/>
          </w:tcPr>
          <w:p>
            <w:pPr>
              <w:widowControl/>
              <w:snapToGrid w:val="0"/>
              <w:spacing w:line="460" w:lineRule="exact"/>
              <w:jc w:val="center"/>
              <w:rPr>
                <w:b/>
                <w:bCs/>
                <w:color w:val="auto"/>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5" w:hRule="atLeast"/>
          <w:tblCellSpacing w:w="0" w:type="dxa"/>
        </w:trPr>
        <w:tc>
          <w:tcPr>
            <w:tcW w:w="3344"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6317"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344"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6317"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应商为残疾人福利性单位的视同小型和微型企业，可不提供以上第1点材料，但应当提供《残疾人福利性单位声明函》，格式见第五章《响应文件格式》附件。4、本采购项目</w:t>
            </w:r>
            <w:r>
              <w:rPr>
                <w:rFonts w:hint="eastAsia" w:ascii="宋体" w:hAnsi="宋体" w:cs="宋体"/>
                <w:color w:val="auto"/>
                <w:kern w:val="0"/>
                <w:sz w:val="24"/>
                <w:highlight w:val="none"/>
              </w:rPr>
              <w:t>属于服务类招标，</w:t>
            </w:r>
            <w:r>
              <w:rPr>
                <w:rFonts w:ascii="宋体" w:hAnsi="宋体" w:cs="宋体"/>
                <w:color w:val="auto"/>
                <w:kern w:val="0"/>
                <w:sz w:val="24"/>
                <w:highlight w:val="none"/>
              </w:rPr>
              <w:t>所属行业为</w:t>
            </w:r>
            <w:r>
              <w:rPr>
                <w:rFonts w:hint="eastAsia" w:ascii="宋体" w:hAnsi="宋体" w:cs="宋体"/>
                <w:b/>
                <w:color w:val="auto"/>
                <w:kern w:val="0"/>
                <w:sz w:val="24"/>
                <w:highlight w:val="yellow"/>
                <w:lang w:eastAsia="zh-CN" w:bidi="ar"/>
              </w:rPr>
              <w:t>软件和信息技术服务业</w:t>
            </w:r>
            <w:r>
              <w:rPr>
                <w:rFonts w:ascii="宋体" w:hAnsi="宋体" w:cs="宋体"/>
                <w:color w:val="auto"/>
                <w:kern w:val="0"/>
                <w:sz w:val="24"/>
                <w:highlight w:val="none"/>
              </w:rPr>
              <w:t>。</w:t>
            </w:r>
          </w:p>
        </w:tc>
      </w:tr>
    </w:tbl>
    <w:p>
      <w:pPr>
        <w:widowControl/>
        <w:spacing w:before="156" w:beforeLines="50" w:line="360"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1.4有下列情形之一的，</w:t>
      </w:r>
      <w:r>
        <w:rPr>
          <w:rFonts w:hint="eastAsia" w:ascii="宋体" w:hAnsi="宋体" w:cs="宋体"/>
          <w:b/>
          <w:bCs/>
          <w:color w:val="auto"/>
          <w:kern w:val="0"/>
          <w:sz w:val="24"/>
          <w:highlight w:val="none"/>
        </w:rPr>
        <w:t>资格审查不合格：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3"/>
        <w:tblW w:w="9679"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9"/>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8355"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未按照招标文件规定提交投标保证金。</w:t>
            </w:r>
          </w:p>
        </w:tc>
      </w:tr>
    </w:tbl>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2、资格审查情况不得私自外泄，有关信息由建融建设管理集团有限责任公司 统一对外发布。</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3、资格审查合格的投标人不足三家的，不进行评标。同时，本次采购活动结束，建融建设管理集团有限责任公司 将依法组织后续采购活动（包括但不限于：重新招标、采用其他方式采购等）。</w:t>
      </w:r>
    </w:p>
    <w:p>
      <w:pPr>
        <w:widowControl/>
        <w:spacing w:before="75" w:after="75" w:line="360" w:lineRule="auto"/>
        <w:jc w:val="center"/>
        <w:rPr>
          <w:rFonts w:ascii="宋体" w:hAnsi="宋体" w:cs="宋体"/>
          <w:b/>
          <w:bCs/>
          <w:color w:val="auto"/>
          <w:kern w:val="0"/>
          <w:sz w:val="24"/>
          <w:highlight w:val="none"/>
        </w:rPr>
      </w:pP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二、评标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4、建融建设管理集团有限责任公司 负责评标委员会的组建及评标工作的组织。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w:t>
      </w:r>
    </w:p>
    <w:p>
      <w:pPr>
        <w:pStyle w:val="19"/>
        <w:widowControl/>
        <w:spacing w:before="75" w:after="75" w:line="360" w:lineRule="auto"/>
        <w:rPr>
          <w:rFonts w:ascii="宋体" w:hAnsi="宋体" w:cs="宋体"/>
          <w:color w:val="auto"/>
          <w:kern w:val="0"/>
          <w:highlight w:val="none"/>
        </w:rPr>
      </w:pPr>
      <w:r>
        <w:rPr>
          <w:rFonts w:hint="eastAsia" w:ascii="宋体" w:hAnsi="宋体" w:cs="宋体"/>
          <w:color w:val="auto"/>
          <w:highlight w:val="none"/>
        </w:rPr>
        <w:t>5.1评标委员会由采购人代表和评标专家两部分共5人（以下简称“评委”）组成，其中：由采购人派出的采购人代表1人，由福建省政府采购评审专家库产生的评标专家4人。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5.2评标委员会负责具体评标事务，并按照下列原则依法独立履行有关职责：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（1）评标应保护国家利益、社会公共利益和各方当事人合法权益，提高采购效益，保证项目质量。</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（2）评标应遵循公平、公正、科学、严谨和择优原则。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（3）评标的依据是招标文件和投标文件。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（4）应按照招标文件规定推荐中标候选人或确定中标人。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（5）评标应遵守下列评标纪律：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①评标情况不得私自外泄，有关信息由建融建设管理集团有限责任公司 统一对外发布。</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②对建融建设管理集团有限责任公司 或投标人提供的要求保密的资料，不得摘记翻印和外传。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④全体评委应按照招标文件规定进行评标，一切认定事项应查有实据且不得弄虚作假。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⑤评标中应充分发扬民主，推荐中标候选人或确定中标人后要服从评标报告。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※对违反评标纪律的评委，将取消其评委资格，对评标工作造成严重损失者将予以通报批评乃至追究法律责任。</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6、评标程序</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6.1评标前的准备工作</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（1）全体评委应认真审阅招标文件，了解评委应履行或遵守的职责、义务和评标纪律。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6.2符合性审查</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（2）满足招标文件的实质性要求指投标文件对招标文件实质性要求的响应不存在重大偏差或保留。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（5）评标委员会对所有投标人都执行相同的程序和标准。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（6）有下列情形之一的，</w:t>
      </w:r>
      <w:r>
        <w:rPr>
          <w:rFonts w:hint="eastAsia" w:ascii="宋体" w:hAnsi="宋体" w:cs="宋体"/>
          <w:b/>
          <w:bCs/>
          <w:color w:val="auto"/>
          <w:kern w:val="0"/>
          <w:sz w:val="24"/>
          <w:highlight w:val="none"/>
        </w:rPr>
        <w:t>符合性审查不合格：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3"/>
        <w:tblW w:w="968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8777"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违反招标文件中载明“</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属于招标文件第三章第10.12条规定的</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投标文件对招标文件实质性要求的响应存在重大偏离或保留。</w:t>
            </w:r>
          </w:p>
        </w:tc>
      </w:tr>
    </w:tbl>
    <w:p>
      <w:pPr>
        <w:pStyle w:val="19"/>
        <w:widowControl/>
        <w:spacing w:before="75" w:after="75" w:line="360" w:lineRule="auto"/>
        <w:ind w:firstLine="480"/>
        <w:rPr>
          <w:rFonts w:ascii="宋体" w:hAnsi="宋体" w:cs="宋体"/>
          <w:color w:val="auto"/>
          <w:highlight w:val="none"/>
        </w:rPr>
      </w:pPr>
      <w:r>
        <w:rPr>
          <w:rFonts w:hint="eastAsia" w:ascii="宋体" w:hAnsi="宋体" w:cs="宋体"/>
          <w:color w:val="auto"/>
          <w:highlight w:val="none"/>
        </w:rPr>
        <w:t>②本项目规定的其他情形：</w:t>
      </w:r>
      <w:r>
        <w:rPr>
          <w:rFonts w:hint="eastAsia" w:ascii="宋体" w:hAnsi="宋体" w:cs="宋体"/>
          <w:color w:val="auto"/>
          <w:highlight w:val="none"/>
        </w:rPr>
        <w:br w:type="textWrapping"/>
      </w:r>
      <w:r>
        <w:rPr>
          <w:rFonts w:hint="eastAsia" w:ascii="宋体" w:hAnsi="宋体" w:cs="宋体"/>
          <w:color w:val="auto"/>
          <w:highlight w:val="none"/>
        </w:rPr>
        <w:t xml:space="preserve">包：1 </w:t>
      </w:r>
      <w:r>
        <w:rPr>
          <w:rFonts w:hint="eastAsia" w:ascii="宋体" w:hAnsi="宋体" w:cs="宋体"/>
          <w:color w:val="auto"/>
          <w:highlight w:val="none"/>
        </w:rPr>
        <w:br w:type="textWrapping"/>
      </w:r>
      <w:r>
        <w:rPr>
          <w:rFonts w:hint="eastAsia" w:ascii="宋体" w:hAnsi="宋体" w:cs="宋体"/>
          <w:color w:val="auto"/>
          <w:highlight w:val="none"/>
        </w:rPr>
        <w:t xml:space="preserve">一般情形 </w:t>
      </w:r>
      <w:r>
        <w:rPr>
          <w:rFonts w:hint="eastAsia" w:ascii="宋体" w:hAnsi="宋体" w:cs="宋体"/>
          <w:color w:val="auto"/>
          <w:highlight w:val="none"/>
        </w:rPr>
        <w:br w:type="textWrapping"/>
      </w:r>
      <w:r>
        <w:rPr>
          <w:rStyle w:val="27"/>
          <w:rFonts w:hint="eastAsia" w:ascii="宋体" w:hAnsi="宋体" w:cs="宋体"/>
          <w:color w:val="auto"/>
          <w:highlight w:val="none"/>
        </w:rPr>
        <w:t>         无</w:t>
      </w:r>
    </w:p>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 xml:space="preserve">技术符合性 </w:t>
      </w:r>
    </w:p>
    <w:tbl>
      <w:tblPr>
        <w:tblStyle w:val="23"/>
        <w:tblW w:w="962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blHeader/>
          <w:tblCellSpacing w:w="0" w:type="dxa"/>
        </w:trPr>
        <w:tc>
          <w:tcPr>
            <w:tcW w:w="9627"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27" w:type="dxa"/>
            <w:vAlign w:val="center"/>
          </w:tcPr>
          <w:p>
            <w:pPr>
              <w:widowControl/>
              <w:numPr>
                <w:ilvl w:val="0"/>
                <w:numId w:val="3"/>
              </w:numPr>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27"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2）技术和服务要求中对招标文件第五章以“★”标示的内容出现负偏离的，按无效投标处理。</w:t>
            </w:r>
          </w:p>
        </w:tc>
      </w:tr>
    </w:tbl>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商务符合性 </w:t>
      </w:r>
    </w:p>
    <w:tbl>
      <w:tblPr>
        <w:tblStyle w:val="23"/>
        <w:tblW w:w="96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3" w:hRule="atLeast"/>
          <w:tblHeader/>
          <w:tblCellSpacing w:w="0" w:type="dxa"/>
        </w:trPr>
        <w:tc>
          <w:tcPr>
            <w:tcW w:w="9660"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660"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60" w:type="dxa"/>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2）投标人的商务条件响应表中对招标文件规定的商务条件出现负偏离的，按无效投标处理。</w:t>
            </w:r>
          </w:p>
        </w:tc>
      </w:tr>
    </w:tbl>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附加符合性</w:t>
      </w:r>
      <w:r>
        <w:rPr>
          <w:rFonts w:hint="eastAsia" w:ascii="宋体" w:hAnsi="宋体" w:cs="宋体"/>
          <w:color w:val="auto"/>
          <w:kern w:val="0"/>
          <w:sz w:val="24"/>
          <w:highlight w:val="none"/>
        </w:rPr>
        <w:br w:type="textWrapping"/>
      </w:r>
      <w:r>
        <w:rPr>
          <w:rStyle w:val="27"/>
          <w:rFonts w:hint="eastAsia" w:ascii="宋体" w:hAnsi="宋体" w:cs="宋体"/>
          <w:color w:val="auto"/>
          <w:kern w:val="0"/>
          <w:sz w:val="24"/>
          <w:highlight w:val="none"/>
        </w:rPr>
        <w:t>         无</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价格符合性 </w:t>
      </w:r>
    </w:p>
    <w:p>
      <w:pPr>
        <w:widowControl/>
        <w:spacing w:before="75" w:after="75" w:line="360" w:lineRule="auto"/>
        <w:ind w:firstLine="480"/>
        <w:jc w:val="left"/>
        <w:rPr>
          <w:rStyle w:val="27"/>
          <w:rFonts w:ascii="宋体" w:hAnsi="宋体" w:cs="宋体"/>
          <w:color w:val="auto"/>
          <w:kern w:val="0"/>
          <w:sz w:val="24"/>
          <w:highlight w:val="none"/>
        </w:rPr>
      </w:pPr>
      <w:r>
        <w:rPr>
          <w:rStyle w:val="27"/>
          <w:rFonts w:hint="eastAsia" w:ascii="宋体" w:hAnsi="宋体" w:cs="宋体"/>
          <w:color w:val="auto"/>
          <w:kern w:val="0"/>
          <w:sz w:val="24"/>
          <w:highlight w:val="none"/>
        </w:rPr>
        <w:t>       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6.3澄清有关问题</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（3）投标文件报价出现前后不一致的，除招标文件另有规定外，按照下列规定修正：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①开标一览表内容与投标文件中相应内容不一致的，以开标一览表为准；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②大写金额和小写金额不一致的，以大写金额为准；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③单价金额小数点或百分比有明显错位的，以开标一览表的总价为准，并修改单价；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④总价金额与按照单价汇总金额不一致的，以单价金额计算结果为准。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（4）关于细微偏差</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（5）关于投标描述（即投标文件中描述的内容）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①投标描述前后不一致且不涉及证明材料的：按照本章第6.3条第（1）、（2）款规定执行。</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②投标描述与证明材料不一致或多份证明材料之间不一致的：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a.评标委员会将要求投标人进行书面澄清，并按照不利于投标人的内容进行评标。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6.4比较与评价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（1）按照本章第7条载明的评标方法和标准，对符合性审查合格的投标文件进行比较与评价。</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u w:val="single"/>
        </w:rPr>
        <w:t>（2）关于相同品牌产品</w:t>
      </w:r>
      <w:r>
        <w:rPr>
          <w:rFonts w:hint="eastAsia" w:ascii="宋体" w:hAnsi="宋体" w:cs="宋体"/>
          <w:b/>
          <w:bCs/>
          <w:color w:val="auto"/>
          <w:kern w:val="0"/>
          <w:sz w:val="24"/>
          <w:highlight w:val="none"/>
        </w:rPr>
        <w:t>（政府采购服务类项目不适用本条款规定）</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w:t>
      </w:r>
      <w:r>
        <w:rPr>
          <w:rFonts w:hint="eastAsia" w:ascii="宋体" w:hAnsi="宋体" w:cs="宋体"/>
          <w:b/>
          <w:bCs/>
          <w:color w:val="auto"/>
          <w:kern w:val="0"/>
          <w:sz w:val="24"/>
          <w:highlight w:val="none"/>
        </w:rPr>
        <w:t>投标无效。</w:t>
      </w:r>
    </w:p>
    <w:p>
      <w:pPr>
        <w:widowControl/>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b.招标文件未规定的，采取随机抽取方式确定，其他同品牌投标人不作为中标候选人。</w:t>
      </w:r>
    </w:p>
    <w:p>
      <w:pPr>
        <w:widowControl/>
        <w:spacing w:line="360" w:lineRule="auto"/>
        <w:ind w:firstLine="480"/>
        <w:jc w:val="left"/>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③</w:t>
      </w:r>
      <w:r>
        <w:rPr>
          <w:rFonts w:hint="eastAsia" w:ascii="宋体" w:hAnsi="宋体" w:cs="宋体"/>
          <w:b/>
          <w:bCs/>
          <w:color w:val="auto"/>
          <w:kern w:val="0"/>
          <w:sz w:val="24"/>
          <w:highlight w:val="none"/>
          <w:u w:val="single"/>
        </w:rPr>
        <w:t>非单一产品采购项目，多家投标人提供的核心产品品牌相同的，按照本章第6.4条第（2）款第①、②规定处理。</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（3）漏（缺）项</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①招标文件中要求列入报价的费用（含配置、功能），漏（缺）项的报价视为已经包括在投标总价中。</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②对多报项及赠送项的价格评标时不予核减，全部进入评标价评议。</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6.5推荐中标候选人：详见本章第7.2条规定。</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6.6编写评标报告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（1）评标报告由评标委员会负责编写。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（2）评标报告应包括下列内容：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①招标公告刊登的网站名称、开标日期和地点；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②投标人名单和评标委员会成员名单；</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③评标方法和标准；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④开标记录和评标情况及说明，包括无效投标人名单及原因；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⑤评标结果，包括中标候选人名单或确定的中标人；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⑥其他需要说明的情况，包括但不限于：评标过程中投标人的澄清、说明或补正，评委更换等。</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处理。</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6.8评委对需要共同认定的事项存在争议的，应按照少数服从多数的原则进行认定。</w:t>
      </w:r>
      <w:r>
        <w:rPr>
          <w:rFonts w:hint="eastAsia" w:ascii="宋体" w:hAnsi="宋体" w:cs="宋体"/>
          <w:b/>
          <w:bCs/>
          <w:color w:val="auto"/>
          <w:kern w:val="0"/>
          <w:sz w:val="24"/>
          <w:highlight w:val="none"/>
        </w:rPr>
        <w:t>持不同意见的评委应在评标报告上签署不同意见及理由，否则视为同意评标报告。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6.9在评标过程中发现投标人有下列情形之一的，评标委员会应认定其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，并书面报告本项目监督管理部门：</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（1）恶意串通（包括但不限于招标文件第三章第9.7条规定情形）；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（2）妨碍其他投标人的竞争行为；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（3）损害采购人或其他投标人的合法权益。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6.10评标过程中，有下列情形之一的，应予废标：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（1）符合性审查合格的投标人不足三家的；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（2）有关法律、法规和规章规定废标的情形。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※若废标，则本次采购活动结束，</w:t>
      </w:r>
      <w:r>
        <w:rPr>
          <w:rFonts w:hint="eastAsia" w:ascii="宋体" w:hAnsi="宋体" w:cs="宋体"/>
          <w:color w:val="auto"/>
          <w:kern w:val="0"/>
          <w:sz w:val="24"/>
          <w:highlight w:val="none"/>
        </w:rPr>
        <w:t xml:space="preserve">建融建设管理集团有限责任公司 </w:t>
      </w:r>
      <w:r>
        <w:rPr>
          <w:rFonts w:hint="eastAsia" w:ascii="宋体" w:hAnsi="宋体" w:cs="宋体"/>
          <w:b/>
          <w:bCs/>
          <w:color w:val="auto"/>
          <w:kern w:val="0"/>
          <w:sz w:val="24"/>
          <w:highlight w:val="none"/>
        </w:rPr>
        <w:t>将依法组织后续采购活动（包括但不限于：重新招标、采用其他方式采购等）。</w:t>
      </w:r>
    </w:p>
    <w:p>
      <w:pPr>
        <w:keepNext w:val="0"/>
        <w:keepLines w:val="0"/>
        <w:pageBreakBefore w:val="0"/>
        <w:widowControl/>
        <w:kinsoku/>
        <w:wordWrap/>
        <w:overflowPunct/>
        <w:topLinePunct w:val="0"/>
        <w:bidi w:val="0"/>
        <w:spacing w:line="400" w:lineRule="exact"/>
        <w:ind w:left="0" w:right="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7、评标方法和标准</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7.1评标方法：</w:t>
      </w:r>
      <w:r>
        <w:rPr>
          <w:color w:val="auto"/>
          <w:highlight w:val="none"/>
        </w:rPr>
        <w:t xml:space="preserve"> 项目包1采用综合评分法。</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7.2评标标准 </w:t>
      </w:r>
    </w:p>
    <w:p>
      <w:pPr>
        <w:pStyle w:val="19"/>
        <w:keepNext w:val="0"/>
        <w:keepLines w:val="0"/>
        <w:pageBreakBefore w:val="0"/>
        <w:widowControl/>
        <w:shd w:val="clear" w:color="auto" w:fill="FFFFFF"/>
        <w:kinsoku/>
        <w:wordWrap/>
        <w:overflowPunct/>
        <w:topLinePunct w:val="0"/>
        <w:bidi w:val="0"/>
        <w:spacing w:line="400" w:lineRule="exact"/>
        <w:ind w:left="0" w:right="0"/>
        <w:textAlignment w:val="auto"/>
        <w:rPr>
          <w:rFonts w:ascii="微软雅黑" w:hAnsi="微软雅黑" w:eastAsia="微软雅黑" w:cs="微软雅黑"/>
          <w:color w:val="auto"/>
          <w:sz w:val="19"/>
          <w:szCs w:val="19"/>
          <w:highlight w:val="none"/>
        </w:rPr>
      </w:pPr>
      <w:r>
        <w:rPr>
          <w:rStyle w:val="27"/>
          <w:rFonts w:hint="eastAsia" w:ascii="宋体" w:hAnsi="宋体" w:cs="宋体"/>
          <w:color w:val="auto"/>
          <w:highlight w:val="none"/>
          <w:shd w:val="clear" w:color="auto" w:fill="FFFFFF"/>
        </w:rPr>
        <w:t>采购包1采用综合评分法</w:t>
      </w:r>
      <w:r>
        <w:rPr>
          <w:rFonts w:hint="eastAsia" w:ascii="宋体" w:hAnsi="宋体" w:cs="宋体"/>
          <w:color w:val="auto"/>
          <w:highlight w:val="none"/>
          <w:shd w:val="clear" w:color="auto" w:fill="FFFFFF"/>
        </w:rPr>
        <w:t>：</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（1）投标文件满足招标文件全部实质性要求，且按照评审因素的量化指标评审得分（即评标总得分）最高的投标人为中标候选人。</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（2）每个投标人的评标总得分</w:t>
      </w:r>
      <w:r>
        <w:rPr>
          <w:rFonts w:ascii="Calibri" w:hAnsi="Calibri" w:cs="Calibri"/>
          <w:color w:val="auto"/>
          <w:highlight w:val="none"/>
        </w:rPr>
        <w:t>FA</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w:t>
      </w:r>
      <w:r>
        <w:rPr>
          <w:rFonts w:hint="eastAsia" w:ascii="宋体" w:hAnsi="宋体" w:cs="宋体"/>
          <w:color w:val="auto"/>
          <w:highlight w:val="none"/>
        </w:rPr>
        <w:t>＋</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（若有），其中：</w:t>
      </w:r>
      <w:r>
        <w:rPr>
          <w:rFonts w:ascii="Calibri" w:hAnsi="Calibri" w:cs="Calibri"/>
          <w:color w:val="auto"/>
          <w:highlight w:val="none"/>
        </w:rPr>
        <w:t>F1</w:t>
      </w:r>
      <w:r>
        <w:rPr>
          <w:rFonts w:hint="eastAsia" w:ascii="宋体" w:hAnsi="宋体" w:cs="宋体"/>
          <w:color w:val="auto"/>
          <w:highlight w:val="none"/>
        </w:rPr>
        <w:t>指价格项评审因素得分、</w:t>
      </w:r>
      <w:r>
        <w:rPr>
          <w:rFonts w:ascii="Calibri" w:hAnsi="Calibri" w:cs="Calibri"/>
          <w:color w:val="auto"/>
          <w:highlight w:val="none"/>
        </w:rPr>
        <w:t>F2</w:t>
      </w:r>
      <w:r>
        <w:rPr>
          <w:rFonts w:hint="eastAsia" w:ascii="宋体" w:hAnsi="宋体" w:cs="宋体"/>
          <w:color w:val="auto"/>
          <w:highlight w:val="none"/>
        </w:rPr>
        <w:t>指技术项评审因素得分、</w:t>
      </w:r>
      <w:r>
        <w:rPr>
          <w:rFonts w:ascii="Calibri" w:hAnsi="Calibri" w:cs="Calibri"/>
          <w:color w:val="auto"/>
          <w:highlight w:val="none"/>
        </w:rPr>
        <w:t>F3</w:t>
      </w:r>
      <w:r>
        <w:rPr>
          <w:rFonts w:hint="eastAsia" w:ascii="宋体" w:hAnsi="宋体" w:cs="宋体"/>
          <w:color w:val="auto"/>
          <w:highlight w:val="none"/>
        </w:rPr>
        <w:t>指商务项评审因素得分，</w:t>
      </w:r>
      <w:r>
        <w:rPr>
          <w:rFonts w:ascii="Calibri" w:hAnsi="Calibri" w:cs="Calibri"/>
          <w:color w:val="auto"/>
          <w:highlight w:val="none"/>
        </w:rPr>
        <w:t>A1</w:t>
      </w:r>
      <w:r>
        <w:rPr>
          <w:rFonts w:hint="eastAsia" w:ascii="宋体" w:hAnsi="宋体" w:cs="宋体"/>
          <w:color w:val="auto"/>
          <w:highlight w:val="none"/>
        </w:rPr>
        <w:t>指价格项评审因素所占的权重、</w:t>
      </w:r>
      <w:r>
        <w:rPr>
          <w:rFonts w:ascii="Calibri" w:hAnsi="Calibri" w:cs="Calibri"/>
          <w:color w:val="auto"/>
          <w:highlight w:val="none"/>
        </w:rPr>
        <w:t>A2</w:t>
      </w:r>
      <w:r>
        <w:rPr>
          <w:rFonts w:hint="eastAsia" w:ascii="宋体" w:hAnsi="宋体" w:cs="宋体"/>
          <w:color w:val="auto"/>
          <w:highlight w:val="none"/>
        </w:rPr>
        <w:t>指技术项评审因素所占的权重、</w:t>
      </w:r>
      <w:r>
        <w:rPr>
          <w:rFonts w:ascii="Calibri" w:hAnsi="Calibri" w:cs="Calibri"/>
          <w:color w:val="auto"/>
          <w:highlight w:val="none"/>
        </w:rPr>
        <w:t>A3</w:t>
      </w:r>
      <w:r>
        <w:rPr>
          <w:rFonts w:hint="eastAsia" w:ascii="宋体" w:hAnsi="宋体" w:cs="宋体"/>
          <w:color w:val="auto"/>
          <w:highlight w:val="none"/>
        </w:rPr>
        <w:t>指商务项评审因素所占的权重，</w:t>
      </w:r>
      <w:r>
        <w:rPr>
          <w:rFonts w:ascii="Calibri" w:hAnsi="Calibri" w:cs="Calibri"/>
          <w:color w:val="auto"/>
          <w:highlight w:val="none"/>
        </w:rPr>
        <w:t>A1+A2+A3=1</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A3=100</w:t>
      </w:r>
      <w:r>
        <w:rPr>
          <w:rFonts w:hint="eastAsia" w:ascii="宋体" w:hAnsi="宋体" w:cs="宋体"/>
          <w:color w:val="auto"/>
          <w:highlight w:val="none"/>
        </w:rPr>
        <w:t>分（满分时），</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为加分项（即优先类节能产品、环境标志产品在采购活动中可享有的加分优惠）。</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（3）各项评审因素的设置如下：</w:t>
      </w:r>
    </w:p>
    <w:p>
      <w:pPr>
        <w:pStyle w:val="19"/>
        <w:keepNext w:val="0"/>
        <w:keepLines w:val="0"/>
        <w:pageBreakBefore w:val="0"/>
        <w:widowControl/>
        <w:kinsoku/>
        <w:wordWrap/>
        <w:overflowPunct/>
        <w:topLinePunct w:val="0"/>
        <w:bidi w:val="0"/>
        <w:spacing w:line="400" w:lineRule="exact"/>
        <w:ind w:left="0" w:right="0" w:firstLine="480"/>
        <w:textAlignment w:val="auto"/>
        <w:rPr>
          <w:rFonts w:hint="eastAsia" w:ascii="宋体" w:hAnsi="宋体" w:cs="宋体"/>
          <w:color w:val="auto"/>
          <w:highlight w:val="none"/>
        </w:rPr>
      </w:pPr>
      <w:r>
        <w:rPr>
          <w:rFonts w:hint="eastAsia" w:ascii="宋体" w:hAnsi="宋体" w:cs="宋体"/>
          <w:color w:val="auto"/>
          <w:highlight w:val="none"/>
        </w:rPr>
        <w:t>①价格项（F1×A1）满分为10分。</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19"/>
        <w:keepNext w:val="0"/>
        <w:keepLines w:val="0"/>
        <w:pageBreakBefore w:val="0"/>
        <w:widowControl/>
        <w:kinsoku/>
        <w:wordWrap/>
        <w:overflowPunct/>
        <w:topLinePunct w:val="0"/>
        <w:bidi w:val="0"/>
        <w:spacing w:line="400" w:lineRule="exact"/>
        <w:ind w:left="0" w:right="0" w:firstLine="480"/>
        <w:textAlignment w:val="auto"/>
        <w:rPr>
          <w:rFonts w:ascii="宋体" w:hAnsi="宋体" w:cs="宋体"/>
          <w:color w:val="auto"/>
          <w:highlight w:val="none"/>
        </w:rPr>
      </w:pPr>
      <w:r>
        <w:rPr>
          <w:rFonts w:ascii="Calibri" w:hAnsi="Calibri" w:cs="Calibri"/>
          <w:color w:val="auto"/>
          <w:highlight w:val="none"/>
        </w:rPr>
        <w:t>b.</w:t>
      </w:r>
      <w:r>
        <w:rPr>
          <w:rFonts w:hint="eastAsia" w:ascii="宋体" w:hAnsi="宋体" w:cs="宋体"/>
          <w:color w:val="auto"/>
          <w:highlight w:val="none"/>
        </w:rPr>
        <w:t>价格扣除的规则如下：</w:t>
      </w:r>
    </w:p>
    <w:tbl>
      <w:tblPr>
        <w:tblStyle w:val="23"/>
        <w:tblW w:w="944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1"/>
        <w:gridCol w:w="8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3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color w:val="auto"/>
                <w:highlight w:val="none"/>
              </w:rPr>
            </w:pPr>
            <w:r>
              <w:rPr>
                <w:rFonts w:ascii="宋体" w:hAnsi="宋体" w:cs="宋体"/>
                <w:color w:val="auto"/>
                <w:kern w:val="0"/>
                <w:sz w:val="24"/>
                <w:highlight w:val="none"/>
                <w:lang w:bidi="ar"/>
              </w:rPr>
              <w:t>评标项目</w:t>
            </w:r>
          </w:p>
        </w:tc>
        <w:tc>
          <w:tcPr>
            <w:tcW w:w="831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color w:val="auto"/>
                <w:highlight w:val="none"/>
              </w:rPr>
            </w:pPr>
            <w:r>
              <w:rPr>
                <w:rFonts w:ascii="宋体" w:hAnsi="宋体" w:cs="宋体"/>
                <w:color w:val="auto"/>
                <w:kern w:val="0"/>
                <w:sz w:val="24"/>
                <w:highlight w:val="none"/>
                <w:lang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color w:val="auto"/>
                <w:highlight w:val="none"/>
              </w:rPr>
            </w:pPr>
            <w:r>
              <w:rPr>
                <w:rFonts w:ascii="宋体" w:hAnsi="宋体" w:cs="宋体"/>
                <w:color w:val="auto"/>
                <w:kern w:val="0"/>
                <w:sz w:val="24"/>
                <w:highlight w:val="none"/>
                <w:lang w:bidi="ar"/>
              </w:rPr>
              <w:t>小型、微型企业，监狱企业，残疾人</w:t>
            </w:r>
          </w:p>
        </w:tc>
        <w:tc>
          <w:tcPr>
            <w:tcW w:w="831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color w:val="auto"/>
                <w:highlight w:val="none"/>
              </w:rPr>
            </w:pPr>
            <w:r>
              <w:rPr>
                <w:rFonts w:hint="eastAsia" w:ascii="宋体" w:hAnsi="宋体" w:cs="宋体"/>
                <w:b/>
                <w:color w:val="auto"/>
                <w:kern w:val="0"/>
                <w:sz w:val="24"/>
                <w:highlight w:val="none"/>
                <w:lang w:bidi="ar"/>
              </w:rPr>
              <w:t>本项目为专门</w:t>
            </w:r>
            <w:bookmarkStart w:id="35" w:name="_GoBack"/>
            <w:bookmarkEnd w:id="35"/>
            <w:r>
              <w:rPr>
                <w:rFonts w:hint="eastAsia" w:ascii="宋体" w:hAnsi="宋体" w:cs="宋体"/>
                <w:b/>
                <w:color w:val="auto"/>
                <w:kern w:val="0"/>
                <w:sz w:val="24"/>
                <w:highlight w:val="none"/>
                <w:lang w:bidi="ar"/>
              </w:rPr>
              <w:t>面向中小企业采购项目。1、评审时，对符合《政府采购促进中小企业发展管理办法》（财库﹝2020﹞46号）规定的小微企业报价给予价格扣除（货物和服务项目为</w:t>
            </w:r>
            <w:r>
              <w:rPr>
                <w:rFonts w:hint="eastAsia" w:ascii="宋体" w:hAnsi="宋体" w:cs="宋体"/>
                <w:b/>
                <w:color w:val="auto"/>
                <w:kern w:val="0"/>
                <w:sz w:val="24"/>
                <w:highlight w:val="none"/>
                <w:lang w:val="en-US" w:eastAsia="zh-CN" w:bidi="ar"/>
              </w:rPr>
              <w:t>15</w:t>
            </w:r>
            <w:r>
              <w:rPr>
                <w:rFonts w:hint="eastAsia" w:ascii="宋体" w:hAnsi="宋体" w:cs="宋体"/>
                <w:b/>
                <w:color w:val="auto"/>
                <w:kern w:val="0"/>
                <w:sz w:val="24"/>
                <w:highlight w:val="none"/>
                <w:lang w:bidi="ar"/>
              </w:rPr>
              <w:t>%；工程项目为3%），用扣除后的价格参加评审。投标人须提供合格的《中小企业声明函》（格式详见招标文件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b/>
                <w:color w:val="auto"/>
                <w:kern w:val="0"/>
                <w:sz w:val="24"/>
                <w:highlight w:val="none"/>
                <w:lang w:val="en-US" w:eastAsia="zh-CN" w:bidi="ar"/>
              </w:rPr>
              <w:t>15</w:t>
            </w:r>
            <w:r>
              <w:rPr>
                <w:rFonts w:hint="eastAsia" w:ascii="宋体" w:hAnsi="宋体" w:cs="宋体"/>
                <w:b/>
                <w:color w:val="auto"/>
                <w:kern w:val="0"/>
                <w:sz w:val="24"/>
                <w:highlight w:val="none"/>
                <w:lang w:bidi="ar"/>
              </w:rPr>
              <w:t>%（工程项目为3%）的价格扣除，但必须提供由省级以上监狱管理局、戒毒管理局（含新疆生产建设兵团）出具的属于监狱企业的证明文件，否则评审时不予价格扣除优惠。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w:t>
            </w:r>
            <w:r>
              <w:rPr>
                <w:rFonts w:hint="eastAsia" w:ascii="宋体" w:hAnsi="宋体" w:cs="宋体"/>
                <w:b/>
                <w:bCs/>
                <w:color w:val="auto"/>
                <w:kern w:val="0"/>
                <w:sz w:val="24"/>
                <w:highlight w:val="none"/>
                <w:lang w:bidi="ar"/>
              </w:rPr>
              <w:t>5、本项</w:t>
            </w:r>
            <w:r>
              <w:rPr>
                <w:rFonts w:hint="eastAsia" w:ascii="宋体" w:hAnsi="宋体" w:cs="宋体"/>
                <w:b/>
                <w:bCs/>
                <w:color w:val="auto"/>
                <w:kern w:val="0"/>
                <w:sz w:val="24"/>
                <w:highlight w:val="yellow"/>
                <w:lang w:bidi="ar"/>
              </w:rPr>
              <w:t>目为</w:t>
            </w:r>
            <w:r>
              <w:rPr>
                <w:rFonts w:hint="eastAsia" w:ascii="宋体" w:hAnsi="宋体" w:cs="宋体"/>
                <w:b/>
                <w:bCs/>
                <w:color w:val="auto"/>
                <w:kern w:val="0"/>
                <w:sz w:val="24"/>
                <w:highlight w:val="yellow"/>
                <w:lang w:val="en-US" w:eastAsia="zh-CN" w:bidi="ar"/>
              </w:rPr>
              <w:t>服务</w:t>
            </w:r>
            <w:r>
              <w:rPr>
                <w:rFonts w:hint="eastAsia" w:ascii="宋体" w:hAnsi="宋体" w:cs="宋体"/>
                <w:b/>
                <w:bCs/>
                <w:color w:val="auto"/>
                <w:kern w:val="0"/>
                <w:sz w:val="24"/>
                <w:highlight w:val="yellow"/>
                <w:lang w:bidi="ar"/>
              </w:rPr>
              <w:t>类采购项目，行业</w:t>
            </w:r>
            <w:r>
              <w:rPr>
                <w:rFonts w:hint="eastAsia" w:ascii="宋体" w:hAnsi="宋体" w:cs="宋体"/>
                <w:b/>
                <w:color w:val="auto"/>
                <w:kern w:val="0"/>
                <w:sz w:val="24"/>
                <w:highlight w:val="yellow"/>
                <w:lang w:bidi="ar"/>
              </w:rPr>
              <w:t>属于</w:t>
            </w:r>
            <w:r>
              <w:rPr>
                <w:rFonts w:hint="eastAsia" w:ascii="宋体" w:hAnsi="宋体" w:cs="宋体"/>
                <w:b/>
                <w:color w:val="auto"/>
                <w:kern w:val="0"/>
                <w:sz w:val="24"/>
                <w:highlight w:val="yellow"/>
                <w:lang w:eastAsia="zh-CN" w:bidi="ar"/>
              </w:rPr>
              <w:t>“软件和信息技术服务业”</w:t>
            </w:r>
            <w:r>
              <w:rPr>
                <w:rFonts w:hint="eastAsia" w:ascii="宋体" w:hAnsi="宋体" w:cs="宋体"/>
                <w:b/>
                <w:color w:val="auto"/>
                <w:kern w:val="0"/>
                <w:sz w:val="24"/>
                <w:highlight w:val="yellow"/>
                <w:lang w:bidi="ar"/>
              </w:rPr>
              <w:t>。</w:t>
            </w:r>
          </w:p>
        </w:tc>
      </w:tr>
    </w:tbl>
    <w:p>
      <w:pPr>
        <w:keepNext w:val="0"/>
        <w:keepLines w:val="0"/>
        <w:pageBreakBefore w:val="0"/>
        <w:kinsoku/>
        <w:wordWrap/>
        <w:overflowPunct/>
        <w:topLinePunct w:val="0"/>
        <w:bidi w:val="0"/>
        <w:spacing w:line="400" w:lineRule="exact"/>
        <w:ind w:left="0" w:right="0"/>
        <w:textAlignment w:val="auto"/>
        <w:rPr>
          <w:rFonts w:ascii="宋体" w:hAnsi="宋体" w:cs="宋体"/>
          <w:color w:val="auto"/>
          <w:sz w:val="24"/>
          <w:highlight w:val="none"/>
        </w:rPr>
      </w:pPr>
    </w:p>
    <w:p>
      <w:pPr>
        <w:pStyle w:val="6"/>
        <w:keepNext w:val="0"/>
        <w:keepLines w:val="0"/>
        <w:pageBreakBefore w:val="0"/>
        <w:kinsoku/>
        <w:wordWrap/>
        <w:overflowPunct/>
        <w:topLinePunct w:val="0"/>
        <w:bidi w:val="0"/>
        <w:spacing w:line="400" w:lineRule="exact"/>
        <w:ind w:left="0" w:right="0"/>
        <w:textAlignment w:val="auto"/>
        <w:rPr>
          <w:color w:val="auto"/>
          <w:highlight w:val="none"/>
        </w:rPr>
      </w:pPr>
      <w:r>
        <w:rPr>
          <w:rStyle w:val="27"/>
          <w:rFonts w:ascii="宋体" w:hAnsi="宋体" w:cs="宋体"/>
          <w:color w:val="auto"/>
          <w:sz w:val="24"/>
          <w:highlight w:val="none"/>
        </w:rPr>
        <w:t>   </w:t>
      </w:r>
    </w:p>
    <w:p>
      <w:pPr>
        <w:pStyle w:val="19"/>
        <w:keepNext w:val="0"/>
        <w:keepLines w:val="0"/>
        <w:pageBreakBefore w:val="0"/>
        <w:widowControl/>
        <w:kinsoku/>
        <w:wordWrap/>
        <w:overflowPunct/>
        <w:topLinePunct w:val="0"/>
        <w:bidi w:val="0"/>
        <w:spacing w:line="400" w:lineRule="exact"/>
        <w:ind w:left="0" w:right="0" w:firstLine="480"/>
        <w:textAlignment w:val="auto"/>
        <w:rPr>
          <w:rFonts w:hint="eastAsia" w:ascii="宋体" w:hAnsi="宋体" w:cs="宋体"/>
          <w:color w:val="auto"/>
          <w:highlight w:val="none"/>
        </w:rPr>
      </w:pPr>
      <w:r>
        <w:rPr>
          <w:rFonts w:hint="eastAsia" w:ascii="宋体" w:hAnsi="宋体" w:cs="宋体"/>
          <w:color w:val="auto"/>
          <w:highlight w:val="none"/>
        </w:rPr>
        <w:t>②技术项（F2×A2）满分为</w:t>
      </w:r>
      <w:r>
        <w:rPr>
          <w:rFonts w:hint="eastAsia" w:ascii="宋体" w:hAnsi="宋体" w:cs="宋体"/>
          <w:color w:val="auto"/>
          <w:highlight w:val="none"/>
          <w:lang w:val="en-US" w:eastAsia="zh-CN"/>
        </w:rPr>
        <w:t>75</w:t>
      </w:r>
      <w:r>
        <w:rPr>
          <w:rFonts w:hint="eastAsia" w:ascii="宋体" w:hAnsi="宋体" w:cs="宋体"/>
          <w:color w:val="auto"/>
          <w:highlight w:val="none"/>
        </w:rPr>
        <w:t>分。</w:t>
      </w:r>
    </w:p>
    <w:tbl>
      <w:tblPr>
        <w:tblStyle w:val="23"/>
        <w:tblW w:w="9828" w:type="dxa"/>
        <w:jc w:val="center"/>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637"/>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974"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评标项目</w:t>
            </w:r>
          </w:p>
        </w:tc>
        <w:tc>
          <w:tcPr>
            <w:tcW w:w="637"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评标分值</w:t>
            </w:r>
          </w:p>
        </w:tc>
        <w:tc>
          <w:tcPr>
            <w:tcW w:w="8217"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74"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技术和服务响应情况</w:t>
            </w:r>
          </w:p>
        </w:tc>
        <w:tc>
          <w:tcPr>
            <w:tcW w:w="637" w:type="dxa"/>
            <w:noWrap w:val="0"/>
            <w:vAlign w:val="center"/>
          </w:tcPr>
          <w:p>
            <w:pPr>
              <w:widowControl/>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57</w:t>
            </w:r>
          </w:p>
        </w:tc>
        <w:tc>
          <w:tcPr>
            <w:tcW w:w="8217"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根据各投标人对“技术和服务要求”中的各项技术参数、服务要求的响应承诺情况，由评委进行评议并评分：其它要求各项指标完全满足招标文件技术参数要求（无偏离或正偏离）的得</w:t>
            </w:r>
            <w:r>
              <w:rPr>
                <w:rFonts w:hint="eastAsia" w:ascii="宋体" w:hAnsi="宋体" w:eastAsia="宋体" w:cs="宋体"/>
                <w:color w:val="auto"/>
                <w:kern w:val="0"/>
                <w:sz w:val="24"/>
                <w:szCs w:val="24"/>
                <w:lang w:val="en-US" w:eastAsia="zh-CN" w:bidi="ar-SA"/>
              </w:rPr>
              <w:t>57</w:t>
            </w:r>
            <w:r>
              <w:rPr>
                <w:rFonts w:hint="eastAsia" w:ascii="宋体" w:hAnsi="宋体" w:cs="宋体"/>
                <w:kern w:val="0"/>
                <w:sz w:val="24"/>
                <w:szCs w:val="24"/>
                <w:lang w:bidi="ar"/>
              </w:rPr>
              <w:t>分，每负偏离一项扣1分,扣完为止。（招标文件若有要求提供相关佐证材料的，应提供相关佐证材料，否则不得分。）（满分</w:t>
            </w:r>
            <w:r>
              <w:rPr>
                <w:rFonts w:hint="eastAsia" w:ascii="宋体" w:hAnsi="宋体" w:eastAsia="宋体" w:cs="宋体"/>
                <w:color w:val="auto"/>
                <w:kern w:val="0"/>
                <w:sz w:val="24"/>
                <w:szCs w:val="24"/>
                <w:lang w:val="en-US" w:eastAsia="zh-CN" w:bidi="ar-SA"/>
              </w:rPr>
              <w:t>57</w:t>
            </w:r>
            <w:r>
              <w:rPr>
                <w:rFonts w:hint="eastAsia" w:ascii="宋体" w:hAnsi="宋体" w:cs="宋体"/>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74"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演示</w:t>
            </w:r>
          </w:p>
        </w:tc>
        <w:tc>
          <w:tcPr>
            <w:tcW w:w="637" w:type="dxa"/>
            <w:noWrap w:val="0"/>
            <w:vAlign w:val="center"/>
          </w:tcPr>
          <w:p>
            <w:pPr>
              <w:widowControl/>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12</w:t>
            </w:r>
          </w:p>
        </w:tc>
        <w:tc>
          <w:tcPr>
            <w:tcW w:w="8217"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rPr>
              <w:t>以下条款需提供现场演示，提前录制的操作视频或PPT演示的不得分。（演示设备自备，现场只提供投影仪，接口自备。演示时间不超过15分钟）</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lang w:val="en-US" w:eastAsia="zh-CN"/>
              </w:rPr>
              <w:t>以柱状图的形式对在建的所有课程完成情况进行展示；当鼠标移至柱状图上，显示对应课程的完成进度；当鼠标点击柱状图时，以柱状图显示对应课程下的视频、动画、课件、题库、文本材料等资源的完成进度。</w:t>
            </w:r>
            <w:r>
              <w:rPr>
                <w:rFonts w:hint="eastAsia" w:ascii="宋体" w:hAnsi="宋体" w:cs="宋体"/>
              </w:rPr>
              <w:t>（完整演示此项内容的得</w:t>
            </w:r>
            <w:r>
              <w:rPr>
                <w:rFonts w:hint="eastAsia" w:ascii="宋体" w:hAnsi="宋体" w:cs="宋体"/>
                <w:lang w:val="en-US" w:eastAsia="zh-CN"/>
              </w:rPr>
              <w:t>3</w:t>
            </w:r>
            <w:r>
              <w:rPr>
                <w:rFonts w:hint="eastAsia" w:ascii="宋体" w:hAnsi="宋体" w:cs="宋体"/>
              </w:rPr>
              <w:t xml:space="preserve">分,否则不得分。） </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rPr>
            </w:pPr>
            <w:r>
              <w:rPr>
                <w:rFonts w:hint="eastAsia" w:ascii="宋体" w:hAnsi="宋体" w:cs="宋体"/>
              </w:rPr>
              <w:t>2.</w:t>
            </w:r>
            <w:r>
              <w:rPr>
                <w:rFonts w:hint="eastAsia" w:ascii="宋体" w:hAnsi="宋体" w:cs="宋体"/>
                <w:lang w:val="en-US" w:eastAsia="zh-CN"/>
              </w:rPr>
              <w:t>可对课程的目录进行手动添加、删除、修改操作。并可以通过平台提供的模板自动导入。</w:t>
            </w:r>
            <w:r>
              <w:rPr>
                <w:rFonts w:hint="eastAsia" w:ascii="宋体" w:hAnsi="宋体" w:cs="宋体"/>
              </w:rPr>
              <w:t>（完整演示此项内容的得</w:t>
            </w:r>
            <w:r>
              <w:rPr>
                <w:rFonts w:hint="eastAsia" w:ascii="宋体" w:hAnsi="宋体" w:cs="宋体"/>
                <w:lang w:val="en-US" w:eastAsia="zh-CN"/>
              </w:rPr>
              <w:t>3</w:t>
            </w:r>
            <w:r>
              <w:rPr>
                <w:rFonts w:hint="eastAsia" w:ascii="宋体" w:hAnsi="宋体" w:cs="宋体"/>
              </w:rPr>
              <w:t xml:space="preserve">分,否则不得分。） </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eastAsia="宋体"/>
                <w:lang w:val="en-US" w:eastAsia="zh-CN"/>
              </w:rPr>
            </w:pPr>
            <w:r>
              <w:rPr>
                <w:rFonts w:hint="eastAsia"/>
                <w:lang w:val="en-US" w:eastAsia="zh-CN"/>
              </w:rPr>
              <w:t>3.</w:t>
            </w:r>
            <w:r>
              <w:rPr>
                <w:rFonts w:hint="eastAsia" w:ascii="宋体" w:hAnsi="宋体" w:cs="宋体"/>
                <w:lang w:val="en-US" w:eastAsia="zh-CN"/>
              </w:rPr>
              <w:t>视频拍摄剪辑后，企业人员将视频初稿上传至平台，教师对企业制作好并上传的视频初稿进行查看，平台支持在线播放视频，并可在播放过程中对视频画面进行批注和文字标识，每修改一处，自动形成标注记录同时在原文件中进行标识，企业人员登录平台后，通过标注记录和播放视频可看到教师修改的批注标识，以此来指导企业员工对视频的某些修改细节。</w:t>
            </w:r>
            <w:r>
              <w:rPr>
                <w:rFonts w:hint="eastAsia" w:ascii="宋体" w:hAnsi="宋体" w:cs="宋体"/>
              </w:rPr>
              <w:t>（完整演示此项内容的得</w:t>
            </w:r>
            <w:r>
              <w:rPr>
                <w:rFonts w:hint="eastAsia" w:ascii="宋体" w:hAnsi="宋体" w:cs="宋体"/>
                <w:lang w:val="en-US" w:eastAsia="zh-CN"/>
              </w:rPr>
              <w:t>3</w:t>
            </w:r>
            <w:r>
              <w:rPr>
                <w:rFonts w:hint="eastAsia" w:ascii="宋体" w:hAnsi="宋体" w:cs="宋体"/>
              </w:rPr>
              <w:t>分,否则不得分。）</w:t>
            </w:r>
          </w:p>
          <w:p>
            <w:pPr>
              <w:pStyle w:val="93"/>
              <w:widowControl/>
              <w:spacing w:line="360" w:lineRule="auto"/>
              <w:jc w:val="left"/>
              <w:rPr>
                <w:rFonts w:hint="eastAsia" w:ascii="宋体" w:hAnsi="宋体" w:cs="宋体"/>
                <w:sz w:val="24"/>
                <w:szCs w:val="24"/>
              </w:rPr>
            </w:pPr>
            <w:r>
              <w:rPr>
                <w:rFonts w:hint="eastAsia" w:ascii="宋体" w:hAnsi="宋体" w:eastAsia="宋体" w:cs="宋体"/>
                <w:kern w:val="0"/>
                <w:sz w:val="24"/>
                <w:szCs w:val="24"/>
                <w:lang w:val="en-US" w:eastAsia="zh-CN" w:bidi="ar-SA"/>
              </w:rPr>
              <w:t>4.对比播放：在视频（动画）制作页面可以选择两个视频同屏播放，老师以此来观察两个视频的修改变化。（完整演示此项内容的得3分,否则不得分。）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74" w:type="dxa"/>
            <w:noWrap w:val="0"/>
            <w:vAlign w:val="center"/>
          </w:tcPr>
          <w:p>
            <w:pPr>
              <w:widowControl/>
              <w:spacing w:line="360" w:lineRule="auto"/>
              <w:jc w:val="center"/>
              <w:rPr>
                <w:rFonts w:hint="eastAsia" w:ascii="宋体" w:hAnsi="宋体" w:cs="宋体"/>
                <w:kern w:val="0"/>
                <w:sz w:val="24"/>
                <w:szCs w:val="24"/>
                <w:lang w:bidi="ar"/>
              </w:rPr>
            </w:pPr>
            <w:r>
              <w:rPr>
                <w:rFonts w:hint="eastAsia" w:ascii="宋体" w:hAnsi="宋体" w:cs="宋体"/>
                <w:kern w:val="0"/>
                <w:sz w:val="24"/>
                <w:szCs w:val="24"/>
                <w:lang w:bidi="ar"/>
              </w:rPr>
              <w:t>实施方案</w:t>
            </w:r>
          </w:p>
        </w:tc>
        <w:tc>
          <w:tcPr>
            <w:tcW w:w="637" w:type="dxa"/>
            <w:noWrap w:val="0"/>
            <w:vAlign w:val="center"/>
          </w:tcPr>
          <w:p>
            <w:pPr>
              <w:widowControl/>
              <w:spacing w:line="360" w:lineRule="auto"/>
              <w:jc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w:t>
            </w:r>
          </w:p>
        </w:tc>
        <w:tc>
          <w:tcPr>
            <w:tcW w:w="8217" w:type="dxa"/>
            <w:noWrap w:val="0"/>
            <w:vAlign w:val="center"/>
          </w:tcPr>
          <w:p>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2" w:hRule="atLeast"/>
          <w:tblCellSpacing w:w="0" w:type="dxa"/>
          <w:jc w:val="center"/>
        </w:trPr>
        <w:tc>
          <w:tcPr>
            <w:tcW w:w="974" w:type="dxa"/>
            <w:noWrap w:val="0"/>
            <w:vAlign w:val="center"/>
          </w:tcPr>
          <w:p>
            <w:pPr>
              <w:widowControl/>
              <w:spacing w:line="360" w:lineRule="auto"/>
              <w:jc w:val="center"/>
              <w:rPr>
                <w:rFonts w:hint="eastAsia" w:ascii="宋体" w:hAnsi="宋体" w:cs="宋体"/>
                <w:kern w:val="0"/>
                <w:sz w:val="24"/>
                <w:szCs w:val="24"/>
                <w:lang w:bidi="ar"/>
              </w:rPr>
            </w:pPr>
            <w:r>
              <w:rPr>
                <w:rFonts w:hint="eastAsia" w:ascii="宋体" w:hAnsi="宋体" w:cs="宋体"/>
                <w:kern w:val="0"/>
                <w:sz w:val="24"/>
                <w:szCs w:val="24"/>
                <w:lang w:bidi="ar"/>
              </w:rPr>
              <w:t>技术培训</w:t>
            </w:r>
          </w:p>
        </w:tc>
        <w:tc>
          <w:tcPr>
            <w:tcW w:w="637"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3</w:t>
            </w:r>
          </w:p>
        </w:tc>
        <w:tc>
          <w:tcPr>
            <w:tcW w:w="8217" w:type="dxa"/>
            <w:noWrap w:val="0"/>
            <w:vAlign w:val="center"/>
          </w:tcPr>
          <w:p>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根据投标人提供的技术培训方案就培训形式、培训时间、培训内容、实用性等方面情况，由评委进行评分：培训形式多样、培训时间长、培训内容丰富且实用、便于师生灵活运用本次采购内容的得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分；培训形式多样、培训时间短、培训内容较丰富实用，基本满足师生运用本次采购内容的得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分；培训形式单一、培训时间短、培训内容较少的得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分；未提供本项得0分。</w:t>
            </w:r>
          </w:p>
        </w:tc>
      </w:tr>
    </w:tbl>
    <w:p>
      <w:pPr>
        <w:keepNext w:val="0"/>
        <w:keepLines w:val="0"/>
        <w:pageBreakBefore w:val="0"/>
        <w:kinsoku/>
        <w:wordWrap/>
        <w:overflowPunct/>
        <w:topLinePunct w:val="0"/>
        <w:bidi w:val="0"/>
        <w:spacing w:line="400" w:lineRule="exact"/>
        <w:ind w:left="0" w:right="0"/>
        <w:textAlignment w:val="auto"/>
        <w:rPr>
          <w:rFonts w:asciiTheme="minorEastAsia" w:hAnsiTheme="minorEastAsia" w:cstheme="minorEastAsia"/>
          <w:color w:val="auto"/>
          <w:szCs w:val="21"/>
          <w:highlight w:val="none"/>
        </w:rPr>
      </w:pPr>
    </w:p>
    <w:p>
      <w:pPr>
        <w:pStyle w:val="19"/>
        <w:keepNext w:val="0"/>
        <w:keepLines w:val="0"/>
        <w:pageBreakBefore w:val="0"/>
        <w:widowControl/>
        <w:numPr>
          <w:ilvl w:val="0"/>
          <w:numId w:val="1"/>
        </w:numPr>
        <w:kinsoku/>
        <w:wordWrap/>
        <w:overflowPunct/>
        <w:topLinePunct w:val="0"/>
        <w:bidi w:val="0"/>
        <w:spacing w:line="400" w:lineRule="exact"/>
        <w:ind w:left="0" w:right="0"/>
        <w:textAlignment w:val="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商务项（F3×A3）满分为</w:t>
      </w:r>
      <w:r>
        <w:rPr>
          <w:rFonts w:hint="eastAsia" w:asciiTheme="minorEastAsia" w:hAnsiTheme="minorEastAsia" w:cstheme="minorEastAsia"/>
          <w:color w:val="auto"/>
          <w:highlight w:val="none"/>
          <w:u w:val="single"/>
        </w:rPr>
        <w:t>15</w:t>
      </w:r>
      <w:r>
        <w:rPr>
          <w:rFonts w:hint="eastAsia" w:asciiTheme="minorEastAsia" w:hAnsiTheme="minorEastAsia" w:cstheme="minorEastAsia"/>
          <w:color w:val="auto"/>
          <w:highlight w:val="none"/>
        </w:rPr>
        <w:t>分。</w:t>
      </w:r>
    </w:p>
    <w:tbl>
      <w:tblPr>
        <w:tblStyle w:val="23"/>
        <w:tblW w:w="9728" w:type="dxa"/>
        <w:jc w:val="center"/>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628"/>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评标项目</w:t>
            </w:r>
          </w:p>
        </w:tc>
        <w:tc>
          <w:tcPr>
            <w:tcW w:w="628"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评标分值</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综合实力1</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3</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认证范围在教育课件开发技术服务的ISO9001:2015标准质量管理体系认证证书、ISO14001:2015标准环境管理体系认证证书、ISO45001:2018标准职业健康安全管理体系认证证书。每提供1份得1分，须提供有效的认证证书复印件，还须提供该证书在平台（http://cx.cnca.cn）上证书状态为“有效”的查询结果网页或截图打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综合实力2</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投标人具有网络课程系统相关计算机软件著作权登记证书的得1分。须提供有效的证书复印件及“中国版权保护中心”登记公告查询网站地址或微平台查询和截图，否则不得分。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综合实力3</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投标人具有数字化课程资源系统相关计算机软件著作权登记证书的得1分。须提供有效的证书复印件及“中国版权保护中心”登记公告查询网站地址或微平台查询和截图，否则不得分。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综合实力4</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投标人具有教学资源库平台相关的计算机软件著作权登记证书的得1分。须提供有效的证书复印件及“中国版权保护中心”登记公告查询网站地址或微平台查询和截图，否则不得分。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eastAsia="zh-CN" w:bidi="ar"/>
              </w:rPr>
            </w:pPr>
            <w:r>
              <w:rPr>
                <w:rFonts w:hint="eastAsia" w:ascii="宋体" w:hAnsi="宋体" w:cs="宋体"/>
                <w:color w:val="auto"/>
                <w:kern w:val="0"/>
                <w:sz w:val="24"/>
                <w:highlight w:val="none"/>
                <w:lang w:bidi="ar"/>
              </w:rPr>
              <w:t>综合实力</w:t>
            </w:r>
            <w:r>
              <w:rPr>
                <w:rFonts w:hint="eastAsia" w:ascii="宋体" w:hAnsi="宋体" w:cs="宋体"/>
                <w:color w:val="auto"/>
                <w:kern w:val="0"/>
                <w:sz w:val="24"/>
                <w:highlight w:val="none"/>
                <w:lang w:val="en-US" w:eastAsia="zh-CN" w:bidi="ar"/>
              </w:rPr>
              <w:t>5</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bidi="ar"/>
              </w:rPr>
              <w:t>提供精品课程、教学资源库开发产品彩页，彩页内容包含了课程申报、课程内容、课程设计与制作、资源建设过程及资源库案例等方面，由评委进行评议，彩页内容丰富、详细、说明合理的得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分，彩页内容一般，说明合理性一般的得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业绩1</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投标人提供具有同类专业资源库建设项目案例，每提供一份得</w:t>
            </w:r>
            <w:r>
              <w:rPr>
                <w:rFonts w:hint="eastAsia" w:ascii="宋体" w:hAnsi="宋体" w:cs="宋体"/>
                <w:color w:val="auto"/>
                <w:kern w:val="0"/>
                <w:sz w:val="24"/>
                <w:highlight w:val="none"/>
                <w:lang w:val="en-US" w:eastAsia="zh-CN" w:bidi="ar"/>
              </w:rPr>
              <w:t>1.0</w:t>
            </w:r>
            <w:r>
              <w:rPr>
                <w:rFonts w:hint="eastAsia" w:ascii="宋体" w:hAnsi="宋体" w:cs="宋体"/>
                <w:color w:val="auto"/>
                <w:kern w:val="0"/>
                <w:sz w:val="24"/>
                <w:highlight w:val="none"/>
                <w:lang w:bidi="ar"/>
              </w:rPr>
              <w:t>分，满分得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.0分。需同时提供业绩的中标（成交）公告（相关网站中标（成交）公告的下载网页及其网址）、中标（成交）通知书复印件、采购合同文本复印件、验收报告复印件，原件备查。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CellSpacing w:w="0" w:type="dxa"/>
          <w:jc w:val="center"/>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售后服务</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05"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根据各投标人提供的售后技术维护服务体系、专业技术和服务人员配备、故障响应时间、响应方式等方面，由评委进行评议，售后服务体系完善、专业技术和服务人员配备齐全的得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分，售后服务体系不够完善、专业技术和服务人员配备较少的得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bl>
    <w:p>
      <w:pPr>
        <w:keepNext w:val="0"/>
        <w:keepLines w:val="0"/>
        <w:pageBreakBefore w:val="0"/>
        <w:widowControl/>
        <w:kinsoku/>
        <w:wordWrap/>
        <w:overflowPunct/>
        <w:topLinePunct w:val="0"/>
        <w:bidi w:val="0"/>
        <w:spacing w:line="400" w:lineRule="exact"/>
        <w:ind w:left="0" w:right="0"/>
        <w:jc w:val="left"/>
        <w:textAlignment w:val="auto"/>
        <w:rPr>
          <w:rFonts w:ascii="宋体" w:hAnsi="宋体" w:cs="宋体"/>
          <w:color w:val="auto"/>
          <w:kern w:val="0"/>
          <w:sz w:val="24"/>
          <w:highlight w:val="none"/>
        </w:rPr>
      </w:pP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a.优先类节能产品、环境标志产品：</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23"/>
        <w:tblW w:w="944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评标项目</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ascii="宋体" w:hAnsi="宋体" w:cs="宋体"/>
                <w:color w:val="auto"/>
                <w:kern w:val="0"/>
                <w:sz w:val="24"/>
                <w:highlight w:val="none"/>
              </w:rPr>
              <w:t>评标分值</w:t>
            </w:r>
          </w:p>
        </w:tc>
        <w:tc>
          <w:tcPr>
            <w:tcW w:w="6863"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1" w:hRule="atLeast"/>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hint="eastAsia"/>
                <w:color w:val="auto"/>
                <w:highlight w:val="none"/>
              </w:rPr>
              <w:t>6.8</w:t>
            </w:r>
          </w:p>
        </w:tc>
        <w:tc>
          <w:tcPr>
            <w:tcW w:w="6863"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（4）中标候选人排列规则顺序如下：</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a.按照评标总得分（</w:t>
      </w:r>
      <w:r>
        <w:rPr>
          <w:rFonts w:ascii="Calibri" w:hAnsi="Calibri" w:cs="Calibri"/>
          <w:color w:val="auto"/>
          <w:highlight w:val="none"/>
        </w:rPr>
        <w:t>FA</w:t>
      </w:r>
      <w:r>
        <w:rPr>
          <w:rFonts w:hint="eastAsia" w:ascii="宋体" w:hAnsi="宋体" w:cs="宋体"/>
          <w:color w:val="auto"/>
          <w:highlight w:val="none"/>
        </w:rPr>
        <w:t>）由高到低顺序排列。</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b.评标总得分（</w:t>
      </w:r>
      <w:r>
        <w:rPr>
          <w:rFonts w:ascii="Calibri" w:hAnsi="Calibri" w:cs="Calibri"/>
          <w:color w:val="auto"/>
          <w:highlight w:val="none"/>
        </w:rPr>
        <w:t>FA</w:t>
      </w:r>
      <w:r>
        <w:rPr>
          <w:rFonts w:hint="eastAsia" w:ascii="宋体" w:hAnsi="宋体" w:cs="宋体"/>
          <w:color w:val="auto"/>
          <w:highlight w:val="none"/>
        </w:rPr>
        <w:t>）相同的，按照评标价（即价格扣除后的投标报价）由低到高顺序排列。</w:t>
      </w:r>
    </w:p>
    <w:p>
      <w:pPr>
        <w:pStyle w:val="19"/>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c.评标总得分（</w:t>
      </w:r>
      <w:r>
        <w:rPr>
          <w:rFonts w:ascii="Calibri" w:hAnsi="Calibri" w:cs="Calibri"/>
          <w:color w:val="auto"/>
          <w:highlight w:val="none"/>
        </w:rPr>
        <w:t>FA</w:t>
      </w:r>
      <w:r>
        <w:rPr>
          <w:rFonts w:hint="eastAsia" w:ascii="宋体" w:hAnsi="宋体" w:cs="宋体"/>
          <w:color w:val="auto"/>
          <w:highlight w:val="none"/>
        </w:rPr>
        <w:t>）且评标价（即价格扣除后的投标报价）相同的并列。</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8、其他规定</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8.1评标应全程保密且不得透露给任一投标人或与评标工作无关的人员。</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8.2评标将进行全程实时录音录像，录音录像资料随采购文件一并存档。</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19"/>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8.4其他：</w:t>
      </w:r>
      <w:r>
        <w:rPr>
          <w:color w:val="auto"/>
          <w:highlight w:val="none"/>
        </w:rPr>
        <w:t>无。</w:t>
      </w: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rPr>
          <w:rFonts w:ascii="宋体" w:hAnsi="宋体" w:cs="宋体"/>
          <w:color w:val="auto"/>
          <w:kern w:val="0"/>
          <w:sz w:val="24"/>
          <w:highlight w:val="none"/>
        </w:rPr>
      </w:pPr>
      <w:r>
        <w:rPr>
          <w:rFonts w:ascii="宋体" w:hAnsi="宋体" w:cs="宋体"/>
          <w:color w:val="auto"/>
          <w:kern w:val="0"/>
          <w:sz w:val="24"/>
          <w:highlight w:val="none"/>
        </w:rPr>
        <w:br w:type="page"/>
      </w:r>
    </w:p>
    <w:p>
      <w:pPr>
        <w:pStyle w:val="6"/>
        <w:rPr>
          <w:color w:val="auto"/>
          <w:highlight w:val="none"/>
        </w:rPr>
      </w:pPr>
    </w:p>
    <w:p>
      <w:pPr>
        <w:tabs>
          <w:tab w:val="left" w:pos="3240"/>
          <w:tab w:val="left" w:pos="3600"/>
          <w:tab w:val="left" w:pos="4057"/>
          <w:tab w:val="right" w:pos="9070"/>
        </w:tabs>
        <w:spacing w:after="156" w:afterLines="50" w:line="264"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第五章  招标内容及要求</w:t>
      </w:r>
    </w:p>
    <w:bookmarkEnd w:id="0"/>
    <w:p>
      <w:pPr>
        <w:pStyle w:val="19"/>
        <w:widowControl/>
        <w:spacing w:before="75" w:after="75" w:line="360" w:lineRule="auto"/>
        <w:rPr>
          <w:rFonts w:ascii="宋体" w:hAnsi="宋体" w:cs="宋体"/>
          <w:b/>
          <w:bCs/>
          <w:color w:val="auto"/>
          <w:highlight w:val="none"/>
        </w:rPr>
      </w:pPr>
      <w:r>
        <w:rPr>
          <w:rFonts w:hint="eastAsia" w:ascii="宋体" w:hAnsi="宋体" w:cs="宋体"/>
          <w:b/>
          <w:bCs/>
          <w:color w:val="auto"/>
          <w:highlight w:val="none"/>
        </w:rPr>
        <w:t>一、项目概况（采购标的）</w:t>
      </w:r>
    </w:p>
    <w:tbl>
      <w:tblPr>
        <w:tblStyle w:val="23"/>
        <w:tblW w:w="10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1314"/>
        <w:gridCol w:w="7451"/>
        <w:gridCol w:w="481"/>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70"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314"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设备名称/支出项目</w:t>
            </w:r>
          </w:p>
        </w:tc>
        <w:tc>
          <w:tcPr>
            <w:tcW w:w="7451"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型号规格/支出用途概述</w:t>
            </w:r>
          </w:p>
        </w:tc>
        <w:tc>
          <w:tcPr>
            <w:tcW w:w="481"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518"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70"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14"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操作系统和办公软件授权服务</w:t>
            </w:r>
          </w:p>
        </w:tc>
        <w:tc>
          <w:tcPr>
            <w:tcW w:w="7451" w:type="dxa"/>
            <w:vAlign w:val="center"/>
          </w:tcPr>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包括windows11专业版、Windows10专业版、windows8专业版及服务期内发行的新版本；office 2019专业增强版/office2016专业增强版/office2013专业增强版/office2010专业增强版，office for mac 2019/2016/2011及服务期内的升级版本使用），覆盖全校师生使用。（具体详见技术和服务要求）</w:t>
            </w:r>
          </w:p>
        </w:tc>
        <w:tc>
          <w:tcPr>
            <w:tcW w:w="481"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p>
        </w:tc>
        <w:tc>
          <w:tcPr>
            <w:tcW w:w="518"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70"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14" w:type="dxa"/>
            <w:vAlign w:val="center"/>
          </w:tcPr>
          <w:p>
            <w:pPr>
              <w:pStyle w:val="94"/>
              <w:ind w:firstLine="0" w:firstLineChars="0"/>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软件正版化管理平台和售后服务</w:t>
            </w:r>
          </w:p>
        </w:tc>
        <w:tc>
          <w:tcPr>
            <w:tcW w:w="7451" w:type="dxa"/>
            <w:vAlign w:val="center"/>
          </w:tcPr>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1、提供软件资源管理平台需实现对校园软件正版化协议的软件在本校范围内的软件下载、批量分发、软件升级、批量激活、数量统计等全面管理；</w:t>
            </w:r>
          </w:p>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2、软件更新：包括平台产品更新、补丁更新和平台数据更新</w:t>
            </w:r>
          </w:p>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3、提供本地客户服务支持，24小时响应，提供定期巡检、平台升级、数据导入、更新服务、技术支持等服务</w:t>
            </w:r>
          </w:p>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4、培训3名以上网络管理人员，对系统进行操作培训</w:t>
            </w:r>
          </w:p>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5、提供在线技术支持服务及服务电话、服务邮箱和400电话热线和网络咨询服务(5×8小时/周)</w:t>
            </w:r>
          </w:p>
          <w:p>
            <w:pPr>
              <w:pStyle w:val="94"/>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6、软件在升级范围时间内出现新版本应免费升级（具体详见技术和服务要求）</w:t>
            </w:r>
          </w:p>
        </w:tc>
        <w:tc>
          <w:tcPr>
            <w:tcW w:w="481"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p>
        </w:tc>
        <w:tc>
          <w:tcPr>
            <w:tcW w:w="518"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70" w:type="dxa"/>
            <w:vAlign w:val="center"/>
          </w:tcPr>
          <w:p>
            <w:pPr>
              <w:pStyle w:val="94"/>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14" w:type="dxa"/>
            <w:vAlign w:val="center"/>
          </w:tcPr>
          <w:p>
            <w:pPr>
              <w:pStyle w:val="94"/>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360杀毒软件</w:t>
            </w:r>
          </w:p>
        </w:tc>
        <w:tc>
          <w:tcPr>
            <w:tcW w:w="7451" w:type="dxa"/>
            <w:vAlign w:val="center"/>
          </w:tcPr>
          <w:p>
            <w:pPr>
              <w:pStyle w:val="94"/>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年授权（具体详见技术和服务要求）</w:t>
            </w:r>
          </w:p>
        </w:tc>
        <w:tc>
          <w:tcPr>
            <w:tcW w:w="481"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518" w:type="dxa"/>
            <w:vAlign w:val="center"/>
          </w:tcPr>
          <w:p>
            <w:pPr>
              <w:pStyle w:val="94"/>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r>
    </w:tbl>
    <w:p>
      <w:pPr>
        <w:numPr>
          <w:ilvl w:val="0"/>
          <w:numId w:val="4"/>
        </w:numPr>
        <w:autoSpaceDE w:val="0"/>
        <w:autoSpaceDN w:val="0"/>
        <w:adjustRightInd w:val="0"/>
        <w:snapToGrid w:val="0"/>
        <w:spacing w:before="468" w:beforeLines="150" w:after="312" w:afterLines="100" w:line="400" w:lineRule="exact"/>
        <w:jc w:val="left"/>
        <w:rPr>
          <w:rFonts w:ascii="宋体" w:hAnsi="宋体" w:cs="宋体"/>
          <w:color w:val="auto"/>
          <w:szCs w:val="21"/>
          <w:highlight w:val="none"/>
        </w:rPr>
      </w:pPr>
      <w:r>
        <w:rPr>
          <w:rFonts w:hint="eastAsia" w:ascii="宋体" w:hAnsi="宋体" w:cs="宋体"/>
          <w:b/>
          <w:bCs/>
          <w:color w:val="auto"/>
          <w:sz w:val="24"/>
          <w:szCs w:val="32"/>
          <w:highlight w:val="none"/>
        </w:rPr>
        <w:t>技术和服务要求</w:t>
      </w:r>
      <w:r>
        <w:rPr>
          <w:rStyle w:val="27"/>
          <w:rFonts w:hint="eastAsia" w:ascii="宋体" w:hAnsi="宋体" w:cs="宋体"/>
          <w:bCs/>
          <w:color w:val="auto"/>
          <w:sz w:val="24"/>
          <w:highlight w:val="none"/>
          <w:u w:val="single"/>
        </w:rPr>
        <w:t>（</w:t>
      </w:r>
      <w:r>
        <w:rPr>
          <w:rStyle w:val="27"/>
          <w:rFonts w:hint="eastAsia" w:ascii="宋体" w:hAnsi="宋体" w:cs="宋体"/>
          <w:color w:val="auto"/>
          <w:sz w:val="24"/>
          <w:highlight w:val="none"/>
          <w:u w:val="single"/>
        </w:rPr>
        <w:t>以“★”标示的内容为不允许负偏离的实质性要求）</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left"/>
        <w:textAlignment w:val="auto"/>
        <w:rPr>
          <w:rFonts w:cs="宋体"/>
          <w:sz w:val="24"/>
          <w:szCs w:val="24"/>
        </w:rPr>
      </w:pPr>
      <w:r>
        <w:rPr>
          <w:rFonts w:cs="宋体"/>
          <w:sz w:val="24"/>
          <w:szCs w:val="24"/>
        </w:rPr>
        <w:t>（一）总体要求</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1.本项目建设</w:t>
      </w:r>
      <w:r>
        <w:rPr>
          <w:rFonts w:hint="eastAsia" w:ascii="宋体" w:hAnsi="宋体" w:cs="宋体"/>
          <w:b w:val="0"/>
          <w:bCs w:val="0"/>
          <w:sz w:val="24"/>
          <w:szCs w:val="24"/>
          <w:lang w:val="en-US" w:eastAsia="zh-CN"/>
        </w:rPr>
        <w:t>2</w:t>
      </w:r>
      <w:r>
        <w:rPr>
          <w:rFonts w:hint="eastAsia" w:ascii="宋体" w:hAnsi="宋体" w:cs="宋体"/>
          <w:b w:val="0"/>
          <w:bCs w:val="0"/>
          <w:sz w:val="24"/>
          <w:szCs w:val="24"/>
        </w:rPr>
        <w:t>门精品在线开放课程资源，资源制作技术规范应严格按照并满足《福建省职业教育精品在线开放课程建设指南（试行）》规定的技术要求以及采购人《湄洲湾职业技术学院精品在线开放课程建设指南（试行）》规定技术要求。</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2.对于精品课程资源建设质量邀请专家做好把关并协助学校做好课程申报省级精品在线开放课程工作、验收工作和材料整理，后续如申报国家级精品课程成功费用可另议。</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3.指导、督促课程团队完成资源建设过程中的各类文本、题目准备及课程平台教学应用部署，实现平台效益最大化。</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4.视频和动画的拍摄制作，供应商应提供专业人员进行沟通与技术研讨辅助教师进行整体设计，协助教师做好素材的收集以及角本的完善。</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5.供应商应配备有完整的服务团队，包含项目经理（1名）：负责项目的整体制作进度及制作质量，销售代表（1名）：负责商务协调，摄影工程师（不少于3名）：负责微课、视频拍摄及过程性指导，动画工程师（不少于1名）：负责课程动画脚本指导、沟通及动画制作。</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6.设备要求：拍摄采用专业高清摄像机拍摄，所用摄像机分辨率不低于1920×1080，最高也可支持4k分辨率，录制视频宽高比16:9，视频帧率为25帧/秒。配套录音设备专业无线麦话筒，必要时可提供双灯或三灯布光照明设备，在拍摄时应针对实际情况采用单机位或多机位拍摄。</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7.录制场地或制作形式由课程教师根据所讲知识点选定。可以是课堂、演播室、智慧教室、实训室或企业现场拍摄等场地。</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rPr>
      </w:pPr>
      <w:r>
        <w:rPr>
          <w:rFonts w:hint="eastAsia" w:ascii="宋体" w:hAnsi="宋体" w:cs="宋体"/>
          <w:b w:val="0"/>
          <w:bCs w:val="0"/>
          <w:sz w:val="24"/>
          <w:szCs w:val="24"/>
        </w:rPr>
        <w:t>8.拍摄方式:按教学知识点或技能点录制，录制环境光线充足、安静，教师衣着得体，讲话清晰，板书清楚。</w:t>
      </w:r>
    </w:p>
    <w:p>
      <w:pPr>
        <w:pStyle w:val="19"/>
        <w:keepNext w:val="0"/>
        <w:keepLines w:val="0"/>
        <w:pageBreakBefore w:val="0"/>
        <w:shd w:val="clear" w:color="auto" w:fill="FFFFFF"/>
        <w:kinsoku/>
        <w:wordWrap/>
        <w:overflowPunct/>
        <w:topLinePunct w:val="0"/>
        <w:bidi w:val="0"/>
        <w:snapToGrid w:val="0"/>
        <w:spacing w:beforeAutospacing="0" w:afterAutospacing="0" w:line="400" w:lineRule="exact"/>
        <w:jc w:val="left"/>
        <w:rPr>
          <w:rStyle w:val="27"/>
          <w:rFonts w:hint="eastAsia"/>
          <w:color w:val="000000"/>
          <w:shd w:val="clear" w:color="auto" w:fill="FFFFFF"/>
        </w:rPr>
      </w:pPr>
      <w:r>
        <w:rPr>
          <w:rStyle w:val="27"/>
          <w:rFonts w:hint="eastAsia"/>
          <w:color w:val="000000"/>
          <w:shd w:val="clear" w:color="auto" w:fill="FFFFFF"/>
        </w:rPr>
        <w:t>（二）建设内容</w:t>
      </w:r>
    </w:p>
    <w:p>
      <w:pPr>
        <w:keepNext w:val="0"/>
        <w:keepLines w:val="0"/>
        <w:pageBreakBefore w:val="0"/>
        <w:kinsoku/>
        <w:wordWrap/>
        <w:overflowPunct/>
        <w:topLinePunct w:val="0"/>
        <w:bidi w:val="0"/>
        <w:adjustRightInd w:val="0"/>
        <w:snapToGrid w:val="0"/>
        <w:spacing w:line="400" w:lineRule="exact"/>
        <w:ind w:firstLine="480" w:firstLineChars="200"/>
        <w:jc w:val="left"/>
        <w:rPr>
          <w:rStyle w:val="27"/>
          <w:rFonts w:hint="eastAsia" w:eastAsia="宋体"/>
          <w:color w:val="000000"/>
          <w:shd w:val="clear" w:color="auto" w:fill="FFFFFF"/>
          <w:lang w:val="en-US" w:eastAsia="zh-CN"/>
        </w:rPr>
      </w:pPr>
      <w:r>
        <w:rPr>
          <w:rFonts w:hint="eastAsia" w:ascii="宋体" w:hAnsi="宋体" w:cs="宋体"/>
          <w:color w:val="auto"/>
          <w:sz w:val="24"/>
          <w:szCs w:val="24"/>
          <w:lang w:val="en-US" w:eastAsia="zh-CN"/>
        </w:rPr>
        <w:t>精品</w:t>
      </w:r>
      <w:r>
        <w:rPr>
          <w:rFonts w:hint="eastAsia" w:ascii="宋体" w:hAnsi="宋体" w:cs="宋体"/>
          <w:color w:val="auto"/>
          <w:sz w:val="24"/>
          <w:szCs w:val="24"/>
        </w:rPr>
        <w:t>课程资源</w:t>
      </w:r>
      <w:r>
        <w:rPr>
          <w:rFonts w:hint="eastAsia" w:ascii="宋体" w:hAnsi="宋体" w:cs="宋体"/>
          <w:sz w:val="24"/>
          <w:szCs w:val="24"/>
        </w:rPr>
        <w:t>定位于“能学、辅教”。“能学”指凡有学习意愿并具备基本学习条件的职业院校学生、教师和社会学习者，均能够通过自主使用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实现不同起点的系统化、个性化学习，并实现一定的学习目标。“辅教”指教师可以针对不同的教授对象和课程要求，利用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灵活组织教学内容、辅助教学实施，实现教学目标；学生可以在课堂教学以外，通过使用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巩固所学和拓展学习</w:t>
      </w:r>
      <w:r>
        <w:rPr>
          <w:rFonts w:hint="eastAsia" w:ascii="宋体" w:hAnsi="宋体" w:cs="宋体"/>
          <w:sz w:val="24"/>
          <w:szCs w:val="24"/>
          <w:lang w:eastAsia="zh-CN"/>
        </w:rPr>
        <w:t>。</w:t>
      </w:r>
      <w:r>
        <w:rPr>
          <w:rFonts w:hint="eastAsia" w:ascii="宋体" w:hAnsi="宋体" w:cs="宋体"/>
          <w:sz w:val="24"/>
          <w:szCs w:val="24"/>
        </w:rPr>
        <w:t>资源建设内容根据教材进行制作</w:t>
      </w:r>
      <w:r>
        <w:rPr>
          <w:rFonts w:hint="eastAsia" w:ascii="宋体" w:hAnsi="宋体" w:eastAsia="宋体" w:cs="宋体"/>
          <w:sz w:val="24"/>
          <w:szCs w:val="24"/>
          <w:lang w:val="en-US" w:eastAsia="zh-CN"/>
        </w:rPr>
        <w:t>,</w:t>
      </w:r>
      <w:r>
        <w:rPr>
          <w:rFonts w:hint="eastAsia" w:ascii="宋体" w:hAnsi="宋体" w:eastAsia="宋体" w:cs="宋体"/>
          <w:sz w:val="24"/>
          <w:szCs w:val="24"/>
        </w:rPr>
        <w:t>制作数量和标准不低于以下要求:</w:t>
      </w:r>
    </w:p>
    <w:p>
      <w:pPr>
        <w:keepNext w:val="0"/>
        <w:keepLines w:val="0"/>
        <w:pageBreakBefore w:val="0"/>
        <w:kinsoku/>
        <w:wordWrap/>
        <w:overflowPunct/>
        <w:topLinePunct w:val="0"/>
        <w:bidi w:val="0"/>
        <w:snapToGrid w:val="0"/>
        <w:spacing w:line="400" w:lineRule="exact"/>
        <w:jc w:val="left"/>
        <w:rPr>
          <w:rFonts w:hint="eastAsia"/>
          <w:color w:val="FF0000"/>
          <w:sz w:val="24"/>
          <w:szCs w:val="24"/>
        </w:rPr>
      </w:pPr>
      <w:r>
        <w:rPr>
          <w:rStyle w:val="27"/>
          <w:rFonts w:hint="eastAsia" w:ascii="宋体" w:hAnsi="宋体" w:eastAsia="宋体" w:cs="宋体"/>
          <w:color w:val="auto"/>
          <w:sz w:val="24"/>
          <w:szCs w:val="24"/>
          <w:shd w:val="clear" w:color="auto" w:fill="FFFFFF"/>
          <w:lang w:val="en-US" w:eastAsia="zh-CN"/>
        </w:rPr>
        <w:t>《数控机床机械装配实训》省级精品课程资源制作内容</w:t>
      </w:r>
    </w:p>
    <w:tbl>
      <w:tblPr>
        <w:tblStyle w:val="23"/>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2"/>
        <w:gridCol w:w="1179"/>
        <w:gridCol w:w="665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792"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Style w:val="27"/>
                <w:rFonts w:hint="eastAsia"/>
              </w:rPr>
            </w:pPr>
            <w:r>
              <w:rPr>
                <w:rStyle w:val="27"/>
                <w:rFonts w:hint="eastAsia"/>
              </w:rPr>
              <w:t>序号</w:t>
            </w:r>
          </w:p>
        </w:tc>
        <w:tc>
          <w:tcPr>
            <w:tcW w:w="1179"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建设内容</w:t>
            </w:r>
          </w:p>
        </w:tc>
        <w:tc>
          <w:tcPr>
            <w:tcW w:w="6652"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技术要求</w:t>
            </w:r>
          </w:p>
        </w:tc>
        <w:tc>
          <w:tcPr>
            <w:tcW w:w="750"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ascii="宋体" w:hAnsi="宋体" w:eastAsia="宋体" w:cs="宋体"/>
                <w:color w:val="000000"/>
              </w:rPr>
              <w:t>1</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eastAsia="zh-CN"/>
              </w:rPr>
            </w:pPr>
            <w:r>
              <w:rPr>
                <w:rFonts w:hint="eastAsia"/>
                <w:color w:val="000000"/>
                <w:sz w:val="24"/>
                <w:szCs w:val="24"/>
                <w:lang w:val="en-US" w:eastAsia="zh-CN"/>
              </w:rPr>
              <w:t>课程介绍</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color w:val="000000"/>
                <w:sz w:val="24"/>
                <w:szCs w:val="24"/>
                <w:lang w:val="en-US" w:eastAsia="zh-CN"/>
              </w:rPr>
              <w:t>对课程的整体教学内容进行大致的介绍了解</w:t>
            </w:r>
            <w:r>
              <w:rPr>
                <w:rFonts w:hint="eastAsia"/>
                <w:color w:val="000000"/>
                <w:sz w:val="24"/>
                <w:szCs w:val="24"/>
              </w:rPr>
              <w:t>，按校方教师提供的内容进行排版、美化</w:t>
            </w:r>
            <w:r>
              <w:rPr>
                <w:rFonts w:hint="eastAsia"/>
                <w:color w:val="000000"/>
                <w:sz w:val="24"/>
                <w:szCs w:val="24"/>
                <w:lang w:eastAsia="zh-CN"/>
              </w:rPr>
              <w:t>。</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val="en-US" w:eastAsia="zh-CN"/>
              </w:rPr>
            </w:pPr>
            <w:r>
              <w:rPr>
                <w:color w:val="000000"/>
                <w:sz w:val="24"/>
                <w:szCs w:val="24"/>
              </w:rPr>
              <w:t>1</w:t>
            </w:r>
            <w:r>
              <w:rPr>
                <w:rFonts w:hint="eastAsia"/>
                <w:color w:val="000000"/>
                <w:sz w:val="24"/>
                <w:szCs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ascii="宋体" w:hAnsi="宋体" w:eastAsia="宋体" w:cs="宋体"/>
                <w:color w:val="000000"/>
              </w:rPr>
              <w:t>2</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color w:val="000000"/>
                <w:sz w:val="24"/>
                <w:szCs w:val="24"/>
                <w:lang w:val="en-US" w:eastAsia="zh-CN"/>
              </w:rPr>
              <w:t>课程标准</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指导课程建设及教学实施的规范性文件，一般包括课程概述（性质、定位、思路等）、课程特点、教学目标、教学内容与学时分配、模块教学安排、考核标准与方式、教材与资源的选用、师资要求、教学环境要求等内容。按校方教师提供的内容为主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val="en-US" w:eastAsia="zh-CN"/>
              </w:rPr>
            </w:pPr>
            <w:r>
              <w:rPr>
                <w:color w:val="000000"/>
                <w:sz w:val="24"/>
                <w:szCs w:val="24"/>
              </w:rPr>
              <w:t>1</w:t>
            </w:r>
            <w:r>
              <w:rPr>
                <w:rFonts w:hint="eastAsia"/>
                <w:color w:val="000000"/>
                <w:sz w:val="24"/>
                <w:szCs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default" w:ascii="宋体" w:hAnsi="宋体" w:eastAsia="宋体" w:cs="宋体"/>
                <w:color w:val="000000"/>
                <w:lang w:val="en-US" w:eastAsia="zh-CN"/>
              </w:rPr>
            </w:pPr>
            <w:r>
              <w:rPr>
                <w:rFonts w:hint="eastAsia" w:ascii="宋体" w:hAnsi="宋体" w:eastAsia="宋体" w:cs="宋体"/>
                <w:color w:val="000000"/>
                <w:lang w:val="en-US" w:eastAsia="zh-CN"/>
              </w:rPr>
              <w:t>3</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color w:val="000000"/>
                <w:sz w:val="24"/>
                <w:szCs w:val="24"/>
                <w:lang w:val="en-US" w:eastAsia="zh-CN"/>
              </w:rPr>
              <w:t>教学设计（教案）</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1.用以指导具体教学实施的文档，一般包括教学目标、内容、方法、手段、资源使用、评价考核等方面的内容。</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2.按单元或者章个数计算，内容覆盖整本教材。按校方教师提供的内容为主进行排版、美化。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default" w:ascii="宋体" w:hAnsi="宋体" w:eastAsia="宋体" w:cs="宋体"/>
                <w:color w:val="000000"/>
                <w:lang w:val="en-US" w:eastAsia="zh-CN"/>
              </w:rPr>
            </w:pPr>
            <w:r>
              <w:rPr>
                <w:rFonts w:hint="eastAsia"/>
                <w:color w:val="000000"/>
                <w:sz w:val="24"/>
                <w:szCs w:val="24"/>
                <w:lang w:val="en-US"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lang w:eastAsia="zh-CN"/>
              </w:rPr>
            </w:pPr>
            <w:r>
              <w:rPr>
                <w:rFonts w:hint="eastAsia" w:ascii="宋体" w:hAnsi="宋体" w:eastAsia="宋体" w:cs="宋体"/>
                <w:color w:val="000000"/>
                <w:lang w:val="en-US" w:eastAsia="zh-CN"/>
              </w:rPr>
              <w:t>4</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color w:val="000000"/>
                <w:sz w:val="24"/>
                <w:szCs w:val="24"/>
                <w:lang w:val="en-US" w:eastAsia="zh-CN"/>
              </w:rPr>
              <w:t>教学课件 PPT</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1.提供PPT模板。</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2.按照每一个小节/任务为单位建设，以教师提供的PPT内容进行美化排版。</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3.制作规范：需符合“演示文稿（PPT）制作规范”的要求。</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color w:val="000000"/>
                <w:sz w:val="24"/>
                <w:szCs w:val="24"/>
                <w:lang w:val="en-US"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rFonts w:hint="eastAsia"/>
                <w:color w:val="000000"/>
                <w:sz w:val="24"/>
                <w:szCs w:val="24"/>
                <w:lang w:val="en-US" w:eastAsia="zh-CN"/>
              </w:rPr>
              <w:t>教学视频</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1.教学任务和教学目标，搭建内容框架。</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2.根据教师提供知识点讲稿或脚本进行拍摄制作视频，视频包含片头片尾，MP4格式5-10分钟/个。</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3.协助教师做好讲稿或脚本最终版优化。</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color w:val="000000"/>
                <w:sz w:val="24"/>
                <w:szCs w:val="24"/>
              </w:rPr>
              <w:t>4.制作规范：需符合“视频技术规范”的要求。</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auto"/>
              </w:rPr>
            </w:pPr>
            <w:r>
              <w:rPr>
                <w:rFonts w:hint="eastAsia"/>
                <w:color w:val="000000"/>
                <w:sz w:val="24"/>
                <w:szCs w:val="24"/>
                <w:lang w:val="en-US"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1179" w:type="dxa"/>
            <w:noWrap w:val="0"/>
            <w:tcMar>
              <w:top w:w="0" w:type="dxa"/>
              <w:left w:w="105" w:type="dxa"/>
              <w:bottom w:w="0" w:type="dxa"/>
              <w:right w:w="105" w:type="dxa"/>
            </w:tcMar>
            <w:vAlign w:val="center"/>
          </w:tcPr>
          <w:p>
            <w:pPr>
              <w:keepNext w:val="0"/>
              <w:keepLines w:val="0"/>
              <w:pageBreakBefore w:val="0"/>
              <w:kinsoku/>
              <w:wordWrap/>
              <w:overflowPunct/>
              <w:topLinePunct w:val="0"/>
              <w:bidi w:val="0"/>
              <w:snapToGrid w:val="0"/>
              <w:spacing w:line="400" w:lineRule="exact"/>
              <w:jc w:val="left"/>
              <w:rPr>
                <w:rFonts w:hint="eastAsia"/>
                <w:color w:val="000000"/>
              </w:rPr>
            </w:pPr>
            <w:r>
              <w:rPr>
                <w:rFonts w:hint="eastAsia"/>
                <w:sz w:val="24"/>
                <w:szCs w:val="24"/>
                <w:lang w:val="en-US" w:eastAsia="zh-CN"/>
              </w:rPr>
              <w:t>动画</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sz w:val="24"/>
                <w:szCs w:val="24"/>
                <w:lang w:val="en-US" w:eastAsia="zh-CN"/>
              </w:rPr>
            </w:pPr>
            <w:r>
              <w:rPr>
                <w:rFonts w:hint="eastAsia"/>
                <w:sz w:val="24"/>
                <w:szCs w:val="24"/>
                <w:lang w:val="en-US" w:eastAsia="zh-CN"/>
              </w:rPr>
              <w:t>1.动画资源采用二维动画制作软件开发完成的教学资源。以人物对话的形式，展现一个案例、事例、故事、示范。故事情节一般以一个同学发现问题、遇到问题，另一个同学一起探讨，找到解决方案，或者老师提供帮助，找到解决方案的方式推进故事的展开；或者以图文形式展现一个概念原理、发展流程、推演变化、组织结构、分类特征等抽象的知识具象化；一个动画资源时长不超过2分钟，分辨率不小于1080*1920，码流不小于2M/s，以MP4格式存储。</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rFonts w:hint="eastAsia"/>
                <w:sz w:val="24"/>
                <w:szCs w:val="24"/>
                <w:lang w:val="en-US" w:eastAsia="zh-CN"/>
              </w:rPr>
              <w:t>2.</w:t>
            </w:r>
            <w:r>
              <w:rPr>
                <w:rFonts w:hint="eastAsia"/>
                <w:sz w:val="24"/>
                <w:szCs w:val="24"/>
              </w:rPr>
              <w:t>配合</w:t>
            </w:r>
            <w:r>
              <w:rPr>
                <w:rFonts w:hint="eastAsia"/>
                <w:sz w:val="24"/>
                <w:szCs w:val="24"/>
                <w:lang w:val="en-US" w:eastAsia="zh-CN"/>
              </w:rPr>
              <w:t>校方</w:t>
            </w:r>
            <w:r>
              <w:rPr>
                <w:rFonts w:hint="eastAsia"/>
                <w:sz w:val="24"/>
                <w:szCs w:val="24"/>
              </w:rPr>
              <w:t>做好脚本的最终优化</w:t>
            </w:r>
          </w:p>
        </w:tc>
        <w:tc>
          <w:tcPr>
            <w:tcW w:w="750"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eastAsia="宋体"/>
                <w:color w:val="auto"/>
                <w:lang w:val="en-US" w:eastAsia="zh-CN"/>
              </w:rPr>
            </w:pPr>
            <w:r>
              <w:rPr>
                <w:rFonts w:hint="eastAsia"/>
                <w:color w:val="000000"/>
                <w:kern w:val="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rFonts w:hint="eastAsia"/>
                <w:color w:val="000000"/>
                <w:sz w:val="24"/>
                <w:szCs w:val="24"/>
                <w:lang w:val="en-US" w:eastAsia="zh-CN"/>
              </w:rPr>
              <w:t>虚拟仿真资源库</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auto"/>
              </w:rPr>
            </w:pPr>
            <w:r>
              <w:rPr>
                <w:rFonts w:hint="eastAsia"/>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color w:val="000000"/>
                <w:sz w:val="24"/>
                <w:szCs w:val="24"/>
              </w:rPr>
              <w:t>习题库</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rFonts w:hint="eastAsia"/>
                <w:color w:val="000000"/>
                <w:sz w:val="24"/>
                <w:szCs w:val="24"/>
                <w:lang w:val="en-US" w:eastAsia="zh-CN"/>
              </w:rPr>
              <w:t>根据教师提供的以项目/单元为单位的测试题卷(包含答案)，整理成可上线教学平台的标准规格。</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auto"/>
              </w:rPr>
            </w:pPr>
            <w:r>
              <w:rPr>
                <w:color w:val="00000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1179"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color w:val="000000"/>
              </w:rPr>
            </w:pPr>
            <w:r>
              <w:rPr>
                <w:rFonts w:hint="eastAsia" w:ascii="宋体" w:hAnsi="宋体" w:cs="宋体"/>
                <w:color w:val="auto"/>
                <w:kern w:val="0"/>
                <w:sz w:val="24"/>
                <w:highlight w:val="none"/>
                <w:lang w:bidi="ar"/>
              </w:rPr>
              <w:t>课程评价方案</w:t>
            </w:r>
          </w:p>
        </w:tc>
        <w:tc>
          <w:tcPr>
            <w:tcW w:w="665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color w:val="000000"/>
              </w:rPr>
            </w:pPr>
            <w:r>
              <w:rPr>
                <w:rFonts w:hint="eastAsia" w:ascii="宋体" w:hAnsi="宋体" w:cs="宋体"/>
                <w:color w:val="auto"/>
                <w:kern w:val="0"/>
                <w:sz w:val="24"/>
                <w:highlight w:val="none"/>
                <w:lang w:bidi="ar"/>
              </w:rPr>
              <w:t>课程考核评价方案，用于考核本门课程总体成绩的考核标准</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default"/>
                <w:color w:val="auto"/>
                <w:lang w:val="en-US"/>
              </w:rPr>
            </w:pPr>
            <w:r>
              <w:rPr>
                <w:color w:val="000000"/>
                <w:sz w:val="24"/>
                <w:szCs w:val="24"/>
              </w:rPr>
              <w:t>1</w:t>
            </w:r>
            <w:r>
              <w:rPr>
                <w:rFonts w:hint="eastAsia"/>
                <w:color w:val="000000"/>
                <w:sz w:val="24"/>
                <w:szCs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w:t>
            </w:r>
          </w:p>
        </w:tc>
        <w:tc>
          <w:tcPr>
            <w:tcW w:w="1179"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cs="宋体"/>
                <w:color w:val="000000"/>
                <w:kern w:val="0"/>
                <w:sz w:val="24"/>
                <w:lang w:bidi="ar"/>
              </w:rPr>
            </w:pPr>
            <w:r>
              <w:rPr>
                <w:rFonts w:hint="eastAsia" w:ascii="宋体" w:hAnsi="宋体" w:cs="宋体"/>
                <w:color w:val="auto"/>
                <w:kern w:val="0"/>
                <w:sz w:val="24"/>
                <w:highlight w:val="none"/>
                <w:lang w:val="en-US" w:eastAsia="zh-CN" w:bidi="ar"/>
              </w:rPr>
              <w:t>教学日历</w:t>
            </w:r>
          </w:p>
        </w:tc>
        <w:tc>
          <w:tcPr>
            <w:tcW w:w="665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cs="宋体"/>
                <w:color w:val="000000"/>
                <w:kern w:val="0"/>
                <w:sz w:val="24"/>
                <w:lang w:bidi="ar"/>
              </w:rPr>
            </w:pPr>
            <w:r>
              <w:rPr>
                <w:rFonts w:hint="eastAsia" w:ascii="宋体" w:hAnsi="宋体" w:cs="宋体"/>
                <w:color w:val="auto"/>
                <w:kern w:val="0"/>
                <w:sz w:val="24"/>
                <w:highlight w:val="none"/>
                <w:lang w:val="en-US" w:eastAsia="zh-CN" w:bidi="ar"/>
              </w:rPr>
              <w:t>根据精品课程学习特点，制定教学日历，指导教师和学生合理使用精品课程网站开展教学。（企业根据老师材料进行排版、美化）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eastAsia="宋体"/>
                <w:color w:val="auto"/>
                <w:lang w:val="en-US" w:eastAsia="zh-CN"/>
              </w:rPr>
            </w:pPr>
            <w:r>
              <w:rPr>
                <w:rFonts w:hint="eastAsia"/>
                <w:color w:val="000000"/>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11</w:t>
            </w:r>
          </w:p>
        </w:tc>
        <w:tc>
          <w:tcPr>
            <w:tcW w:w="1179"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cs="宋体"/>
                <w:color w:val="000000"/>
                <w:kern w:val="0"/>
                <w:sz w:val="24"/>
                <w:lang w:bidi="ar"/>
              </w:rPr>
            </w:pPr>
            <w:r>
              <w:rPr>
                <w:rFonts w:hint="eastAsia" w:ascii="宋体" w:hAnsi="宋体" w:cs="宋体"/>
                <w:color w:val="auto"/>
                <w:kern w:val="0"/>
                <w:sz w:val="24"/>
                <w:highlight w:val="none"/>
                <w:lang w:val="en-US" w:eastAsia="zh-CN" w:bidi="ar"/>
              </w:rPr>
              <w:t>课程答疑</w:t>
            </w:r>
          </w:p>
        </w:tc>
        <w:tc>
          <w:tcPr>
            <w:tcW w:w="665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cs="宋体"/>
                <w:color w:val="000000"/>
                <w:kern w:val="0"/>
                <w:sz w:val="24"/>
                <w:lang w:bidi="ar"/>
              </w:rPr>
            </w:pPr>
            <w:r>
              <w:rPr>
                <w:rFonts w:hint="eastAsia" w:ascii="宋体" w:hAnsi="宋体" w:cs="宋体"/>
                <w:color w:val="auto"/>
                <w:kern w:val="0"/>
                <w:sz w:val="24"/>
                <w:highlight w:val="none"/>
                <w:lang w:val="en-US" w:eastAsia="zh-CN" w:bidi="ar"/>
              </w:rPr>
              <w:t>老师提供的针对课程学习过程中常见问题整理问题答疑。（企业根据老师材料进行排版、美化）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eastAsia="宋体"/>
                <w:color w:val="auto"/>
                <w:lang w:val="en-US" w:eastAsia="zh-CN"/>
              </w:rPr>
            </w:pPr>
            <w:r>
              <w:rPr>
                <w:rFonts w:hint="eastAsia"/>
                <w:color w:val="000000"/>
                <w:sz w:val="24"/>
                <w:szCs w:val="24"/>
                <w:lang w:val="en-US" w:eastAsia="zh-CN"/>
              </w:rPr>
              <w:t>1份</w:t>
            </w:r>
          </w:p>
        </w:tc>
      </w:tr>
    </w:tbl>
    <w:p>
      <w:pPr>
        <w:keepNext w:val="0"/>
        <w:keepLines w:val="0"/>
        <w:pageBreakBefore w:val="0"/>
        <w:kinsoku/>
        <w:wordWrap/>
        <w:overflowPunct/>
        <w:topLinePunct w:val="0"/>
        <w:bidi w:val="0"/>
        <w:snapToGrid w:val="0"/>
        <w:spacing w:line="400" w:lineRule="exact"/>
        <w:jc w:val="left"/>
        <w:rPr>
          <w:rFonts w:hint="eastAsia"/>
          <w:color w:val="FF0000"/>
          <w:sz w:val="24"/>
          <w:szCs w:val="24"/>
        </w:rPr>
      </w:pPr>
      <w:r>
        <w:rPr>
          <w:rStyle w:val="27"/>
          <w:rFonts w:hint="eastAsia" w:ascii="宋体" w:hAnsi="宋体" w:eastAsia="宋体" w:cs="宋体"/>
          <w:color w:val="auto"/>
          <w:sz w:val="24"/>
          <w:szCs w:val="24"/>
          <w:shd w:val="clear" w:color="auto" w:fill="FFFFFF"/>
          <w:lang w:val="en-US" w:eastAsia="zh-CN"/>
        </w:rPr>
        <w:t>《电气装配实训》省级精品课程资源制作内容</w:t>
      </w:r>
    </w:p>
    <w:tbl>
      <w:tblPr>
        <w:tblStyle w:val="23"/>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2"/>
        <w:gridCol w:w="1179"/>
        <w:gridCol w:w="665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792"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Style w:val="27"/>
                <w:rFonts w:hint="eastAsia"/>
              </w:rPr>
            </w:pPr>
            <w:r>
              <w:rPr>
                <w:rStyle w:val="27"/>
                <w:rFonts w:hint="eastAsia"/>
              </w:rPr>
              <w:t>序号</w:t>
            </w:r>
          </w:p>
        </w:tc>
        <w:tc>
          <w:tcPr>
            <w:tcW w:w="1179"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建设内容</w:t>
            </w:r>
          </w:p>
        </w:tc>
        <w:tc>
          <w:tcPr>
            <w:tcW w:w="6652"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技术要求</w:t>
            </w:r>
          </w:p>
        </w:tc>
        <w:tc>
          <w:tcPr>
            <w:tcW w:w="750" w:type="dxa"/>
            <w:shd w:val="clear" w:color="auto" w:fill="FABF8F"/>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rPr>
            </w:pPr>
            <w:r>
              <w:rPr>
                <w:rStyle w:val="27"/>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ascii="宋体" w:hAnsi="宋体" w:eastAsia="宋体" w:cs="宋体"/>
                <w:color w:val="000000"/>
              </w:rPr>
              <w:t>1</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eastAsia="zh-CN"/>
              </w:rPr>
            </w:pPr>
            <w:r>
              <w:rPr>
                <w:color w:val="000000"/>
                <w:sz w:val="24"/>
                <w:szCs w:val="24"/>
              </w:rPr>
              <w:t>课程宣传片定制</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1.声色并茂地凸显课程特点，侧面提升课程宣传用语，旨在推广本课程，吸引学习者</w:t>
            </w:r>
            <w:r>
              <w:rPr>
                <w:rFonts w:hint="eastAsia"/>
                <w:color w:val="000000"/>
                <w:sz w:val="24"/>
                <w:szCs w:val="24"/>
              </w:rPr>
              <w:t>,时长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val="en-US" w:eastAsia="zh-CN"/>
              </w:rPr>
            </w:pPr>
            <w:r>
              <w:rPr>
                <w:color w:val="00000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rFonts w:hint="eastAsia" w:ascii="宋体" w:hAnsi="宋体" w:eastAsia="宋体" w:cs="宋体"/>
                <w:color w:val="000000"/>
              </w:rPr>
              <w:t>2</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课程封面设计</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1.根据课程内容设计符合课程风格的封面</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2.应用于多个课程平台展示封面展示</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3.课程封面包括LOGO、学校名称、课程名称或其它相关的信息等</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lang w:val="en-US" w:eastAsia="zh-CN"/>
              </w:rPr>
            </w:pPr>
            <w:r>
              <w:rPr>
                <w:color w:val="000000"/>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default" w:ascii="宋体" w:hAnsi="宋体" w:eastAsia="宋体" w:cs="宋体"/>
                <w:color w:val="000000"/>
                <w:lang w:val="en-US" w:eastAsia="zh-CN"/>
              </w:rPr>
            </w:pPr>
            <w:r>
              <w:rPr>
                <w:rFonts w:hint="eastAsia" w:ascii="宋体" w:hAnsi="宋体" w:eastAsia="宋体" w:cs="宋体"/>
                <w:color w:val="000000"/>
                <w:lang w:val="en-US" w:eastAsia="zh-CN"/>
              </w:rPr>
              <w:t>3</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课程标准</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（修订）</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指导课程建设及教学实施的规范性文件，一般包括课程概述（性质、定位、思路等）、课程特点、教学目标、教学内容与学时分配、模块教学安排、考核标准与方式、教材与资源的选用、师资要求、教学环境要求等内容。按校方教师提供的内容为主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default" w:ascii="宋体" w:hAnsi="宋体" w:eastAsia="宋体" w:cs="宋体"/>
                <w:color w:val="000000"/>
                <w:lang w:val="en-US" w:eastAsia="zh-CN"/>
              </w:rPr>
            </w:pPr>
            <w:r>
              <w:rPr>
                <w:color w:val="00000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jc w:val="center"/>
        </w:trPr>
        <w:tc>
          <w:tcPr>
            <w:tcW w:w="792" w:type="dxa"/>
            <w:noWrap w:val="0"/>
            <w:tcMar>
              <w:top w:w="0" w:type="dxa"/>
              <w:left w:w="105" w:type="dxa"/>
              <w:bottom w:w="0" w:type="dxa"/>
              <w:right w:w="105" w:type="dxa"/>
            </w:tcMar>
            <w:vAlign w:val="center"/>
          </w:tcPr>
          <w:p>
            <w:pPr>
              <w:pStyle w:val="19"/>
              <w:keepNext w:val="0"/>
              <w:keepLines w:val="0"/>
              <w:pageBreakBefore w:val="0"/>
              <w:kinsoku/>
              <w:wordWrap/>
              <w:overflowPunct/>
              <w:topLinePunct w:val="0"/>
              <w:bidi w:val="0"/>
              <w:snapToGrid w:val="0"/>
              <w:spacing w:beforeAutospacing="0" w:afterAutospacing="0" w:line="400" w:lineRule="exact"/>
              <w:jc w:val="left"/>
              <w:rPr>
                <w:rFonts w:hint="eastAsia" w:ascii="宋体" w:hAnsi="宋体" w:eastAsia="宋体" w:cs="宋体"/>
                <w:color w:val="000000"/>
                <w:lang w:eastAsia="zh-CN"/>
              </w:rPr>
            </w:pPr>
            <w:r>
              <w:rPr>
                <w:rFonts w:hint="eastAsia" w:ascii="宋体" w:hAnsi="宋体" w:eastAsia="宋体" w:cs="宋体"/>
                <w:color w:val="000000"/>
                <w:lang w:val="en-US" w:eastAsia="zh-CN"/>
              </w:rPr>
              <w:t>4</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教学设计</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1.用以指导具体教学实施的文档，一般包括教学目标、内容、方法、手段、资源使用、评价考核等方面的内容。</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2.按单元或者章个数计算，内容覆盖整本教材。按校方教师提供的内容为主进行排版、美化。</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ascii="宋体" w:hAnsi="宋体" w:eastAsia="宋体" w:cs="宋体"/>
                <w:color w:val="000000"/>
              </w:rPr>
            </w:pPr>
            <w:r>
              <w:rPr>
                <w:color w:val="00000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color w:val="000000"/>
                <w:sz w:val="24"/>
                <w:szCs w:val="24"/>
              </w:rPr>
              <w:t>教学课件</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1.提供PPT模板。</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2.按照每一个小节/任务为单位建设，以教师提供的PPT内容进行美化排版。</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color w:val="000000"/>
                <w:sz w:val="24"/>
                <w:szCs w:val="24"/>
              </w:rPr>
              <w:t>3.制作规范：需符合“演示文稿（PPT）制作规范”的要求。</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auto"/>
              </w:rPr>
            </w:pPr>
            <w:r>
              <w:rPr>
                <w:color w:val="00000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1179" w:type="dxa"/>
            <w:noWrap w:val="0"/>
            <w:tcMar>
              <w:top w:w="0" w:type="dxa"/>
              <w:left w:w="105" w:type="dxa"/>
              <w:bottom w:w="0" w:type="dxa"/>
              <w:right w:w="105" w:type="dxa"/>
            </w:tcMar>
            <w:vAlign w:val="center"/>
          </w:tcPr>
          <w:p>
            <w:pPr>
              <w:keepNext w:val="0"/>
              <w:keepLines w:val="0"/>
              <w:pageBreakBefore w:val="0"/>
              <w:kinsoku/>
              <w:wordWrap/>
              <w:overflowPunct/>
              <w:topLinePunct w:val="0"/>
              <w:bidi w:val="0"/>
              <w:snapToGrid w:val="0"/>
              <w:spacing w:line="400" w:lineRule="exact"/>
              <w:jc w:val="left"/>
              <w:rPr>
                <w:rFonts w:hint="eastAsia"/>
                <w:color w:val="000000"/>
              </w:rPr>
            </w:pPr>
            <w:r>
              <w:rPr>
                <w:sz w:val="24"/>
                <w:szCs w:val="24"/>
              </w:rPr>
              <w:t>视频片头片尾制作</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sz w:val="24"/>
                <w:szCs w:val="24"/>
              </w:rPr>
              <w:t>设计与每门课程主题对应的特效包装片头、片尾。片头要具有各门课程所对应的的视频元素，观感时尚和科技感十足，体现课程的精美。（片头、片尾分别时长一般不超过10秒）</w:t>
            </w:r>
          </w:p>
        </w:tc>
        <w:tc>
          <w:tcPr>
            <w:tcW w:w="750"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eastAsia="宋体"/>
                <w:color w:val="auto"/>
                <w:lang w:val="en-US" w:eastAsia="zh-CN"/>
              </w:rPr>
            </w:pPr>
            <w:r>
              <w:rPr>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color w:val="000000"/>
                <w:sz w:val="24"/>
                <w:szCs w:val="24"/>
              </w:rPr>
              <w:t>微视频或短视频</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1.教学任务和教学目标，搭建内容框架。</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2.根据教师提供知识点讲稿或脚本进行拍摄制作视频，视频包含片头片尾，MP4格式5-10分钟/个。</w:t>
            </w:r>
          </w:p>
          <w:p>
            <w:pPr>
              <w:pStyle w:val="19"/>
              <w:keepNext w:val="0"/>
              <w:keepLines w:val="0"/>
              <w:pageBreakBefore w:val="0"/>
              <w:widowControl/>
              <w:kinsoku/>
              <w:wordWrap/>
              <w:overflowPunct/>
              <w:topLinePunct w:val="0"/>
              <w:bidi w:val="0"/>
              <w:snapToGrid w:val="0"/>
              <w:spacing w:beforeAutospacing="0" w:afterAutospacing="0" w:line="400" w:lineRule="exact"/>
              <w:jc w:val="left"/>
              <w:rPr>
                <w:color w:val="000000"/>
                <w:sz w:val="24"/>
                <w:szCs w:val="24"/>
              </w:rPr>
            </w:pPr>
            <w:r>
              <w:rPr>
                <w:color w:val="000000"/>
                <w:sz w:val="24"/>
                <w:szCs w:val="24"/>
              </w:rPr>
              <w:t>3.协助教师做好讲稿或脚本最终版优化。</w:t>
            </w:r>
          </w:p>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color w:val="000000"/>
                <w:sz w:val="24"/>
                <w:szCs w:val="24"/>
              </w:rPr>
              <w:t>4.制作规范：需符合“视频技术规范”的要求。</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auto"/>
              </w:rPr>
            </w:pPr>
            <w:r>
              <w:rPr>
                <w:rFonts w:hint="eastAsia"/>
                <w:color w:val="000000"/>
                <w:sz w:val="24"/>
                <w:szCs w:val="24"/>
                <w:lang w:val="en-US" w:eastAsia="zh-CN"/>
              </w:rPr>
              <w:t>45</w:t>
            </w:r>
            <w:r>
              <w:rPr>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color w:val="000000"/>
                <w:sz w:val="24"/>
                <w:szCs w:val="24"/>
              </w:rPr>
              <w:t>习题库</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rPr>
            </w:pPr>
            <w:r>
              <w:rPr>
                <w:rFonts w:hint="eastAsia"/>
                <w:color w:val="000000"/>
                <w:sz w:val="24"/>
                <w:szCs w:val="24"/>
                <w:lang w:val="en-US" w:eastAsia="zh-CN"/>
              </w:rPr>
              <w:t>根据教师提供的以项目/单元为单位的测试题卷(包含答案)，整理成可上线教学平台的标准规格。</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color w:val="auto"/>
              </w:rPr>
            </w:pPr>
            <w:r>
              <w:rPr>
                <w:color w:val="00000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792" w:type="dxa"/>
            <w:noWrap w:val="0"/>
            <w:tcMar>
              <w:top w:w="0" w:type="dxa"/>
              <w:left w:w="105" w:type="dxa"/>
              <w:bottom w:w="0" w:type="dxa"/>
              <w:right w:w="105" w:type="dxa"/>
            </w:tcMar>
            <w:vAlign w:val="center"/>
          </w:tcPr>
          <w:p>
            <w:pPr>
              <w:keepNext w:val="0"/>
              <w:keepLines w:val="0"/>
              <w:pageBreakBefore w:val="0"/>
              <w:widowControl/>
              <w:kinsoku/>
              <w:wordWrap/>
              <w:overflowPunct/>
              <w:topLinePunct w:val="0"/>
              <w:bidi w:val="0"/>
              <w:snapToGrid w:val="0"/>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1179"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color w:val="000000"/>
                <w:sz w:val="24"/>
                <w:szCs w:val="24"/>
              </w:rPr>
              <w:t>素材库</w:t>
            </w:r>
          </w:p>
        </w:tc>
        <w:tc>
          <w:tcPr>
            <w:tcW w:w="6652"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eastAsia"/>
                <w:color w:val="000000"/>
              </w:rPr>
            </w:pPr>
            <w:r>
              <w:rPr>
                <w:rFonts w:hint="eastAsia"/>
                <w:color w:val="000000"/>
                <w:sz w:val="24"/>
                <w:szCs w:val="24"/>
                <w:lang w:eastAsia="zh-CN"/>
              </w:rPr>
              <w:t>老师</w:t>
            </w:r>
            <w:r>
              <w:rPr>
                <w:color w:val="000000"/>
                <w:sz w:val="24"/>
                <w:szCs w:val="24"/>
              </w:rPr>
              <w:t>根据技能点提供碎片化素材，主要格式为文档或图片，</w:t>
            </w:r>
            <w:r>
              <w:rPr>
                <w:rFonts w:hint="eastAsia"/>
                <w:color w:val="000000"/>
                <w:sz w:val="24"/>
                <w:szCs w:val="24"/>
                <w:lang w:eastAsia="zh-CN"/>
              </w:rPr>
              <w:t>企业根据</w:t>
            </w:r>
            <w:r>
              <w:rPr>
                <w:color w:val="000000"/>
                <w:sz w:val="24"/>
                <w:szCs w:val="24"/>
              </w:rPr>
              <w:t>教师</w:t>
            </w:r>
            <w:r>
              <w:rPr>
                <w:rFonts w:hint="eastAsia"/>
                <w:color w:val="000000"/>
                <w:sz w:val="24"/>
                <w:szCs w:val="24"/>
                <w:lang w:eastAsia="zh-CN"/>
              </w:rPr>
              <w:t>提供的</w:t>
            </w:r>
            <w:r>
              <w:rPr>
                <w:color w:val="000000"/>
                <w:sz w:val="24"/>
                <w:szCs w:val="24"/>
              </w:rPr>
              <w:t>素材</w:t>
            </w:r>
            <w:r>
              <w:rPr>
                <w:rFonts w:hint="eastAsia"/>
                <w:color w:val="000000"/>
                <w:sz w:val="24"/>
                <w:szCs w:val="24"/>
                <w:lang w:eastAsia="zh-CN"/>
              </w:rPr>
              <w:t>进行整理</w:t>
            </w:r>
            <w:r>
              <w:rPr>
                <w:color w:val="000000"/>
                <w:sz w:val="24"/>
                <w:szCs w:val="24"/>
              </w:rPr>
              <w:t>。</w:t>
            </w:r>
          </w:p>
        </w:tc>
        <w:tc>
          <w:tcPr>
            <w:tcW w:w="750" w:type="dxa"/>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bidi w:val="0"/>
              <w:snapToGrid w:val="0"/>
              <w:spacing w:beforeAutospacing="0" w:afterAutospacing="0" w:line="400" w:lineRule="exact"/>
              <w:jc w:val="left"/>
              <w:rPr>
                <w:rFonts w:hint="default"/>
                <w:color w:val="auto"/>
                <w:lang w:val="en-US"/>
              </w:rPr>
            </w:pPr>
            <w:r>
              <w:rPr>
                <w:color w:val="000000"/>
                <w:sz w:val="24"/>
                <w:szCs w:val="24"/>
              </w:rPr>
              <w:t>1套</w:t>
            </w:r>
          </w:p>
        </w:tc>
      </w:tr>
    </w:tbl>
    <w:p>
      <w:pPr>
        <w:pStyle w:val="19"/>
        <w:keepNext w:val="0"/>
        <w:keepLines w:val="0"/>
        <w:pageBreakBefore w:val="0"/>
        <w:kinsoku/>
        <w:wordWrap/>
        <w:overflowPunct/>
        <w:topLinePunct w:val="0"/>
        <w:bidi w:val="0"/>
        <w:snapToGrid w:val="0"/>
        <w:spacing w:beforeAutospacing="0" w:afterAutospacing="0" w:line="400" w:lineRule="exact"/>
        <w:jc w:val="left"/>
        <w:rPr>
          <w:rStyle w:val="27"/>
          <w:rFonts w:hint="eastAsia"/>
          <w:color w:val="000000"/>
          <w:shd w:val="clear" w:color="auto" w:fill="FFFFFF"/>
        </w:rPr>
      </w:pPr>
    </w:p>
    <w:p>
      <w:pPr>
        <w:pStyle w:val="19"/>
        <w:keepNext w:val="0"/>
        <w:keepLines w:val="0"/>
        <w:pageBreakBefore w:val="0"/>
        <w:kinsoku/>
        <w:wordWrap/>
        <w:overflowPunct/>
        <w:topLinePunct w:val="0"/>
        <w:bidi w:val="0"/>
        <w:snapToGrid w:val="0"/>
        <w:spacing w:beforeAutospacing="0" w:afterAutospacing="0" w:line="400" w:lineRule="exact"/>
        <w:jc w:val="left"/>
        <w:rPr>
          <w:rFonts w:hint="eastAsia"/>
          <w:color w:val="000000"/>
        </w:rPr>
      </w:pPr>
      <w:r>
        <w:rPr>
          <w:rStyle w:val="27"/>
          <w:rFonts w:hint="eastAsia"/>
          <w:color w:val="000000"/>
          <w:shd w:val="clear" w:color="auto" w:fill="FFFFFF"/>
        </w:rPr>
        <w:t>（三）技术规范</w:t>
      </w: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2"/>
        <w:rPr>
          <w:rFonts w:hint="eastAsia" w:ascii="宋体" w:hAnsi="宋体" w:cs="宋体"/>
          <w:b/>
          <w:bCs/>
          <w:sz w:val="24"/>
          <w:szCs w:val="24"/>
        </w:rPr>
      </w:pPr>
      <w:bookmarkStart w:id="1" w:name="_Toc28933_WPSOffice_Level2"/>
      <w:bookmarkStart w:id="2" w:name="_Toc30489"/>
      <w:bookmarkStart w:id="3" w:name="_Toc10225"/>
      <w:bookmarkStart w:id="4" w:name="_Toc20488"/>
      <w:bookmarkStart w:id="5" w:name="_Toc16286_WPSOffice_Level2"/>
      <w:r>
        <w:rPr>
          <w:rFonts w:hint="eastAsia" w:ascii="宋体" w:hAnsi="宋体" w:cs="宋体"/>
          <w:b/>
          <w:bCs/>
          <w:sz w:val="24"/>
          <w:szCs w:val="24"/>
        </w:rPr>
        <w:t>（1）视频技术规范</w:t>
      </w:r>
      <w:bookmarkEnd w:id="1"/>
      <w:bookmarkEnd w:id="2"/>
      <w:bookmarkEnd w:id="3"/>
      <w:bookmarkEnd w:id="4"/>
      <w:bookmarkEnd w:id="5"/>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1.视频内容</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1.1屏幕图像的构图合理，画面主体突出。人像及肢体动作以及配合讲授选用的板书、画板、教具实物、模型和实验设备等均不能超出镜头所及范围。</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1.2演播室使用的背景采用彩色喷绘或电脑虚拟、实景等背景。背景的颜色、图案不易过多，应保持静态，画面应简洁、明快，有利于营造课堂气氛。</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1.3摄像镜头应保持与主讲教师目光平视的角度。主讲教师不应较长时间仰视或俯视。</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1.4使用资料、图片、外景实拍、实验和表演等形象化教学手段，应符合教学内容要求，与讲授内容联系紧密，手段选用恰当。</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1.5选用影视作品或自拍素材，应注明素材来源。影视作品或自拍素材中涉及人物访谈内容时，除应加注人物介绍外，还应采用滚动式同声字幕。</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1.6选用的资料、图片等素材画面应清楚，对于历史资料、图片应进行再加工。选用的资料、图片等素材应注明素材来源及原始信息（如字画的作品、生卒年月，影视片断的作品名称、创作年代等信息）。</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1.7动画的设计与使用，要与课程内容相贴切，能够发挥良好的教学效果。</w:t>
      </w:r>
    </w:p>
    <w:p>
      <w:pPr>
        <w:pStyle w:val="70"/>
        <w:keepNext w:val="0"/>
        <w:keepLines w:val="0"/>
        <w:pageBreakBefore w:val="0"/>
        <w:kinsoku/>
        <w:wordWrap/>
        <w:overflowPunct/>
        <w:topLinePunct w:val="0"/>
        <w:bidi w:val="0"/>
        <w:snapToGrid w:val="0"/>
        <w:spacing w:line="400" w:lineRule="exact"/>
        <w:ind w:firstLine="480"/>
        <w:jc w:val="left"/>
        <w:rPr>
          <w:rFonts w:hint="eastAsia" w:ascii="宋体" w:hAnsi="宋体" w:cs="宋体"/>
          <w:sz w:val="24"/>
          <w:szCs w:val="24"/>
        </w:rPr>
      </w:pPr>
      <w:r>
        <w:rPr>
          <w:rFonts w:hint="eastAsia" w:ascii="宋体" w:hAnsi="宋体" w:cs="宋体"/>
          <w:sz w:val="24"/>
          <w:szCs w:val="24"/>
        </w:rPr>
        <w:t>1.8动画的实现须流畅、合理、图像清晰，具有较强的可视性。</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2.视频技术规格</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2.1视频信号源</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2.1.1稳定性：全片图像同步性能稳定，无失步现象，CTL同步控制信号必须连续：图像无抖动跳跃，色彩无突变，编辑点处图像稳定。</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2.1.2信噪比：无明显杂波。</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2.1.3色调：白平衡正确，无明显偏色，多机拍摄的镜头衔接处无明显色差。</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2.2音频信号源</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2.2.1声道：中文内容音频信号记录于第1声道，音乐、音效、同期声记录于第2声道，若有其他文字解说记录于第3声道(如录音设备无第3声道,则录于第2声道)。</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2.2.2电平指标：-2db —— -8db声音应无明显失真、放音过冲、过弱。</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2.2.3音频信噪比不低于48db。</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2.2.4声音和画面要求同步，无交流声或其他杂音等缺陷。</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2.2.5伴音清晰、饱满、圆润，无失真、噪声杂音干扰、音量忽大忽小现象。解说声与现场声无明显比例失调，解说声与背景音乐无明显比例失调。</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2.3视频压缩格式及技术参数</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2.3.1视频压缩采用H.264/AVC (MPEG-4 Part10)编码、使用二次编码、不包含字幕的MP4格式。</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2.3.2视频码流率：动态码流的最低码率不得低于1024Kb</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2.3.3视频分辨率</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前期采用高清16:9拍摄，设定为 1280×720或1920×1080。</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2.3.4视频画幅宽高比</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分辨率设定为1280×720或1920×1080的，选定 16:9</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2.3.5视频帧率为25帧/秒</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2.3.6扫描方式采用逐行扫描</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2.4音频压缩格式及技术参数</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2.4.1音频压缩采用AAC(MPEG4 Part3)格式</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 xml:space="preserve">2.4.2采样率48KHz </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2.4.3音频码流率128Kbps (恒定)</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2.4.4双声道，做混音处理。</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2.5封装</w:t>
      </w:r>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采用MP4封装</w:t>
      </w: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2"/>
        <w:rPr>
          <w:rFonts w:hint="eastAsia" w:ascii="宋体" w:hAnsi="宋体" w:cs="宋体"/>
          <w:b/>
          <w:bCs/>
          <w:sz w:val="24"/>
          <w:szCs w:val="24"/>
        </w:rPr>
      </w:pPr>
      <w:bookmarkStart w:id="6" w:name="_Toc5390_WPSOffice_Level2"/>
      <w:bookmarkStart w:id="7" w:name="_Toc15705"/>
      <w:bookmarkStart w:id="8" w:name="_Toc20469"/>
      <w:bookmarkStart w:id="9" w:name="_Toc1084"/>
      <w:bookmarkStart w:id="10" w:name="_Toc9194_WPSOffice_Level2"/>
      <w:r>
        <w:rPr>
          <w:rFonts w:hint="eastAsia" w:ascii="宋体" w:hAnsi="宋体" w:cs="宋体"/>
          <w:b/>
          <w:bCs/>
          <w:sz w:val="24"/>
          <w:szCs w:val="24"/>
        </w:rPr>
        <w:t>（2）演示文稿（PPT）制作规范</w:t>
      </w:r>
      <w:bookmarkEnd w:id="6"/>
      <w:bookmarkEnd w:id="7"/>
      <w:bookmarkEnd w:id="8"/>
      <w:bookmarkEnd w:id="9"/>
      <w:bookmarkEnd w:id="10"/>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1.制作原则</w:t>
      </w:r>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1.1演示文稿（PPT）要求集文字、图形、图像、声音以及视频等多种媒体元素于一体，一般不使用纯文字的演示文稿（PPT）。</w:t>
      </w:r>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1.2页面设置要求符合高清格式比例，幻灯片大小为“全屏显示16：9”。</w:t>
      </w:r>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1.3整体效果应风格统一、色彩协调、美观大方。</w:t>
      </w:r>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2.字体与字号</w:t>
      </w:r>
    </w:p>
    <w:p>
      <w:pPr>
        <w:keepNext w:val="0"/>
        <w:keepLines w:val="0"/>
        <w:pageBreakBefore w:val="0"/>
        <w:kinsoku/>
        <w:wordWrap/>
        <w:overflowPunct/>
        <w:topLinePunct w:val="0"/>
        <w:bidi w:val="0"/>
        <w:snapToGrid w:val="0"/>
        <w:spacing w:line="400" w:lineRule="exact"/>
        <w:ind w:firstLine="640"/>
        <w:jc w:val="left"/>
        <w:rPr>
          <w:rFonts w:hint="eastAsia" w:ascii="宋体" w:hAnsi="宋体" w:cs="宋体"/>
          <w:sz w:val="24"/>
          <w:szCs w:val="24"/>
        </w:rPr>
      </w:pPr>
      <w:r>
        <w:rPr>
          <w:rFonts w:hint="eastAsia" w:ascii="宋体" w:hAnsi="宋体" w:cs="宋体"/>
          <w:sz w:val="24"/>
          <w:szCs w:val="24"/>
        </w:rPr>
        <w:t>字体与字号参照下表：</w:t>
      </w:r>
    </w:p>
    <w:tbl>
      <w:tblPr>
        <w:tblStyle w:val="23"/>
        <w:tblpPr w:leftFromText="180" w:rightFromText="180" w:vertAnchor="text" w:horzAnchor="margin" w:tblpXSpec="center" w:tblpY="78"/>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85"/>
        <w:gridCol w:w="1560"/>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类型</w:t>
            </w:r>
          </w:p>
        </w:tc>
        <w:tc>
          <w:tcPr>
            <w:tcW w:w="1701"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大标题</w:t>
            </w:r>
          </w:p>
        </w:tc>
        <w:tc>
          <w:tcPr>
            <w:tcW w:w="1485"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主讲信息</w:t>
            </w:r>
          </w:p>
        </w:tc>
        <w:tc>
          <w:tcPr>
            <w:tcW w:w="1560"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一级标题</w:t>
            </w:r>
          </w:p>
        </w:tc>
        <w:tc>
          <w:tcPr>
            <w:tcW w:w="1559"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正  文</w:t>
            </w:r>
          </w:p>
        </w:tc>
        <w:tc>
          <w:tcPr>
            <w:tcW w:w="1384"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字体</w:t>
            </w:r>
          </w:p>
        </w:tc>
        <w:tc>
          <w:tcPr>
            <w:tcW w:w="1701"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大黑、时尚中黑、大隶书</w:t>
            </w:r>
          </w:p>
        </w:tc>
        <w:tc>
          <w:tcPr>
            <w:tcW w:w="1485"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黑体</w:t>
            </w:r>
          </w:p>
        </w:tc>
        <w:tc>
          <w:tcPr>
            <w:tcW w:w="1560"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黑体、魏碑、大宋</w:t>
            </w:r>
          </w:p>
        </w:tc>
        <w:tc>
          <w:tcPr>
            <w:tcW w:w="1559"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雅黑、中宋</w:t>
            </w:r>
          </w:p>
        </w:tc>
        <w:tc>
          <w:tcPr>
            <w:tcW w:w="1384"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字号</w:t>
            </w:r>
          </w:p>
        </w:tc>
        <w:tc>
          <w:tcPr>
            <w:tcW w:w="1701"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50～70磅</w:t>
            </w:r>
          </w:p>
        </w:tc>
        <w:tc>
          <w:tcPr>
            <w:tcW w:w="1485"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1560"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1559"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24～32磅</w:t>
            </w:r>
          </w:p>
        </w:tc>
        <w:tc>
          <w:tcPr>
            <w:tcW w:w="1384"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z w:val="24"/>
                <w:szCs w:val="24"/>
                <w:u w:val="none" w:color="000000"/>
              </w:rPr>
            </w:pPr>
            <w:r>
              <w:rPr>
                <w:rFonts w:hint="eastAsia" w:ascii="宋体" w:hAnsi="宋体" w:cs="宋体"/>
                <w:bCs/>
                <w:sz w:val="24"/>
                <w:szCs w:val="24"/>
              </w:rPr>
              <w:t>应用</w:t>
            </w:r>
          </w:p>
        </w:tc>
        <w:tc>
          <w:tcPr>
            <w:tcW w:w="1701"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上下左右居中</w:t>
            </w:r>
          </w:p>
        </w:tc>
        <w:tc>
          <w:tcPr>
            <w:tcW w:w="1485"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1560"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1559"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左对齐或居中</w:t>
            </w:r>
          </w:p>
        </w:tc>
        <w:tc>
          <w:tcPr>
            <w:tcW w:w="1384" w:type="dxa"/>
            <w:noWrap w:val="0"/>
            <w:vAlign w:val="center"/>
          </w:tcPr>
          <w:p>
            <w:pPr>
              <w:keepNext w:val="0"/>
              <w:keepLines w:val="0"/>
              <w:pageBreakBefore w:val="0"/>
              <w:kinsoku/>
              <w:wordWrap/>
              <w:overflowPunct/>
              <w:topLinePunct w:val="0"/>
              <w:bidi w:val="0"/>
              <w:snapToGrid w:val="0"/>
              <w:spacing w:line="400" w:lineRule="exact"/>
              <w:jc w:val="left"/>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r>
    </w:tbl>
    <w:p>
      <w:pPr>
        <w:keepNext w:val="0"/>
        <w:keepLines w:val="0"/>
        <w:pageBreakBefore w:val="0"/>
        <w:kinsoku/>
        <w:wordWrap/>
        <w:overflowPunct/>
        <w:topLinePunct w:val="0"/>
        <w:bidi w:val="0"/>
        <w:snapToGrid w:val="0"/>
        <w:spacing w:line="400" w:lineRule="exact"/>
        <w:ind w:firstLine="641"/>
        <w:jc w:val="left"/>
        <w:rPr>
          <w:rFonts w:hint="eastAsia" w:ascii="宋体" w:hAnsi="宋体" w:cs="宋体"/>
          <w:color w:val="000000"/>
          <w:sz w:val="24"/>
          <w:szCs w:val="24"/>
          <w:u w:val="none" w:color="000000"/>
        </w:rPr>
      </w:pPr>
      <w:r>
        <w:rPr>
          <w:rFonts w:hint="eastAsia" w:ascii="宋体" w:hAnsi="宋体" w:cs="宋体"/>
          <w:sz w:val="24"/>
          <w:szCs w:val="24"/>
        </w:rPr>
        <w:t>3.版心与版式</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每页四周留出空白，应避免内容顶到页面边缘，边界安全区域分别为左、右130像素内，上、下90像素内。</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4.背景</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4.1背景色以简洁适中饱和度为主（颜色保持在一至两种色系内）；</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4.2背景和场景不宜变化过多；</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4.3文字、图形等内容应与背景对比醒目。</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5.色调</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5.1色彩的选配应与课程科目相吻合；</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5.2每一短视频或一系列短视频在配色上应体现出系统性，可选一种主色调再加上一至两种辅助色进行匹配；</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5.3同一屏里文字不宜超出三种颜色。</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6.字距与行距</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6.1标题：在文字少的情形下，字距放宽一倍体现舒展性；</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6.2正文：行距使用1行或1.5行，便于阅读。</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7. 配图</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7.1图像应清晰并能反映出内容主题思想，分辨率应上72dpi以上；</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7.2保持图像宽高比例，不可变形；</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7.3图形使用应通俗易懂，便于理解。</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8.修饰</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8.1细线条的运用比粗线条更显精致；</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8.2扁平式的装饰更接近时代审美；</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8.3有趣味的装饰通常更能吸引人。</w:t>
      </w:r>
    </w:p>
    <w:p>
      <w:pPr>
        <w:keepNext w:val="0"/>
        <w:keepLines w:val="0"/>
        <w:pageBreakBefore w:val="0"/>
        <w:kinsoku/>
        <w:wordWrap/>
        <w:overflowPunct/>
        <w:topLinePunct w:val="0"/>
        <w:bidi w:val="0"/>
        <w:snapToGrid w:val="0"/>
        <w:spacing w:line="400" w:lineRule="exact"/>
        <w:ind w:firstLine="641"/>
        <w:jc w:val="left"/>
        <w:rPr>
          <w:rFonts w:hint="eastAsia" w:ascii="宋体" w:hAnsi="宋体" w:cs="宋体"/>
          <w:sz w:val="24"/>
          <w:szCs w:val="24"/>
        </w:rPr>
      </w:pPr>
      <w:r>
        <w:rPr>
          <w:rFonts w:hint="eastAsia" w:ascii="宋体" w:hAnsi="宋体" w:cs="宋体"/>
          <w:sz w:val="24"/>
          <w:szCs w:val="24"/>
        </w:rPr>
        <w:t>9. 版权来源</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素材选用注意版权。不得使用未经授权的素材，经授权的素材需加入“版权来源”信息。</w:t>
      </w:r>
      <w:bookmarkStart w:id="11" w:name="_Toc14340_WPSOffice_Level2"/>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2"/>
        <w:rPr>
          <w:rFonts w:hint="eastAsia" w:ascii="宋体" w:hAnsi="宋体" w:cs="宋体"/>
          <w:b/>
          <w:bCs/>
          <w:sz w:val="24"/>
          <w:szCs w:val="24"/>
        </w:rPr>
      </w:pPr>
      <w:bookmarkStart w:id="12" w:name="_Toc11208"/>
      <w:bookmarkStart w:id="13" w:name="_Toc11140"/>
      <w:bookmarkStart w:id="14" w:name="_Toc12641"/>
      <w:r>
        <w:rPr>
          <w:rFonts w:hint="eastAsia" w:ascii="宋体" w:hAnsi="宋体" w:cs="宋体"/>
          <w:b/>
          <w:bCs/>
          <w:sz w:val="24"/>
          <w:szCs w:val="24"/>
        </w:rPr>
        <w:t>（3）文本类</w:t>
      </w:r>
      <w:bookmarkEnd w:id="11"/>
      <w:r>
        <w:rPr>
          <w:rFonts w:hint="eastAsia" w:ascii="宋体" w:hAnsi="宋体" w:cs="宋体"/>
          <w:b/>
          <w:bCs/>
          <w:sz w:val="24"/>
          <w:szCs w:val="24"/>
        </w:rPr>
        <w:t>制作规范</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1．文件格式</w:t>
      </w:r>
    </w:p>
    <w:tbl>
      <w:tblPr>
        <w:tblStyle w:val="23"/>
        <w:tblW w:w="9249" w:type="dxa"/>
        <w:jc w:val="center"/>
        <w:tblInd w:w="-471" w:type="dxa"/>
        <w:tblLayout w:type="fixed"/>
        <w:tblCellMar>
          <w:top w:w="0" w:type="dxa"/>
          <w:left w:w="0" w:type="dxa"/>
          <w:bottom w:w="0" w:type="dxa"/>
          <w:right w:w="0" w:type="dxa"/>
        </w:tblCellMar>
      </w:tblPr>
      <w:tblGrid>
        <w:gridCol w:w="2770"/>
        <w:gridCol w:w="2389"/>
        <w:gridCol w:w="4090"/>
      </w:tblGrid>
      <w:tr>
        <w:tblPrEx>
          <w:tblLayout w:type="fixed"/>
          <w:tblCellMar>
            <w:top w:w="0" w:type="dxa"/>
            <w:left w:w="0" w:type="dxa"/>
            <w:bottom w:w="0" w:type="dxa"/>
            <w:right w:w="0" w:type="dxa"/>
          </w:tblCellMar>
        </w:tblPrEx>
        <w:trPr>
          <w:trHeight w:val="453" w:hRule="atLeast"/>
          <w:jc w:val="center"/>
        </w:trPr>
        <w:tc>
          <w:tcPr>
            <w:tcW w:w="2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媒体类型</w:t>
            </w:r>
          </w:p>
        </w:tc>
        <w:tc>
          <w:tcPr>
            <w:tcW w:w="238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扩展名</w:t>
            </w:r>
          </w:p>
        </w:tc>
        <w:tc>
          <w:tcPr>
            <w:tcW w:w="409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说 明</w:t>
            </w:r>
          </w:p>
        </w:tc>
      </w:tr>
      <w:tr>
        <w:tblPrEx>
          <w:tblLayout w:type="fixed"/>
          <w:tblCellMar>
            <w:top w:w="0" w:type="dxa"/>
            <w:left w:w="0" w:type="dxa"/>
            <w:bottom w:w="0" w:type="dxa"/>
            <w:right w:w="0" w:type="dxa"/>
          </w:tblCellMar>
        </w:tblPrEx>
        <w:trPr>
          <w:trHeight w:val="1765" w:hRule="atLeast"/>
          <w:jc w:val="center"/>
        </w:trPr>
        <w:tc>
          <w:tcPr>
            <w:tcW w:w="2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w:t>
            </w:r>
          </w:p>
        </w:tc>
        <w:tc>
          <w:tcPr>
            <w:tcW w:w="238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*.doc</w:t>
            </w:r>
          </w:p>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*.docx</w:t>
            </w:r>
          </w:p>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*.pdf</w:t>
            </w:r>
          </w:p>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*.xls</w:t>
            </w:r>
          </w:p>
        </w:tc>
        <w:tc>
          <w:tcPr>
            <w:tcW w:w="409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常见文本存储格式均可</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23"/>
        <w:tblW w:w="9225" w:type="dxa"/>
        <w:jc w:val="center"/>
        <w:tblInd w:w="0" w:type="dxa"/>
        <w:tblLayout w:type="fixed"/>
        <w:tblCellMar>
          <w:top w:w="113" w:type="dxa"/>
          <w:left w:w="113" w:type="dxa"/>
          <w:bottom w:w="0" w:type="dxa"/>
          <w:right w:w="0" w:type="dxa"/>
        </w:tblCellMar>
      </w:tblPr>
      <w:tblGrid>
        <w:gridCol w:w="792"/>
        <w:gridCol w:w="8433"/>
      </w:tblGrid>
      <w:tr>
        <w:tblPrEx>
          <w:tblLayout w:type="fixed"/>
          <w:tblCellMar>
            <w:top w:w="113" w:type="dxa"/>
            <w:left w:w="113" w:type="dxa"/>
            <w:bottom w:w="0" w:type="dxa"/>
            <w:right w:w="0" w:type="dxa"/>
          </w:tblCellMar>
        </w:tblPrEx>
        <w:trPr>
          <w:trHeight w:val="23" w:hRule="atLeast"/>
          <w:jc w:val="center"/>
        </w:trPr>
        <w:tc>
          <w:tcPr>
            <w:tcW w:w="92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技术要求</w:t>
            </w:r>
          </w:p>
        </w:tc>
      </w:tr>
      <w:tr>
        <w:tblPrEx>
          <w:tblLayout w:type="fixed"/>
          <w:tblCellMar>
            <w:top w:w="113" w:type="dxa"/>
            <w:left w:w="113" w:type="dxa"/>
            <w:bottom w:w="0" w:type="dxa"/>
            <w:right w:w="0"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软件     版本</w:t>
            </w: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文件制作版本不低于当前主流版本，要求上下兼容。（文档编辑工具不低于 OFFICE2003）</w:t>
            </w:r>
          </w:p>
        </w:tc>
      </w:tr>
      <w:tr>
        <w:tblPrEx>
          <w:tblLayout w:type="fixed"/>
          <w:tblCellMar>
            <w:top w:w="113" w:type="dxa"/>
            <w:left w:w="113" w:type="dxa"/>
            <w:bottom w:w="0" w:type="dxa"/>
            <w:right w:w="0" w:type="dxa"/>
          </w:tblCellMar>
        </w:tblPrEx>
        <w:trPr>
          <w:trHeight w:val="23" w:hRule="atLeast"/>
          <w:jc w:val="center"/>
        </w:trPr>
        <w:tc>
          <w:tcPr>
            <w:tcW w:w="79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品质</w:t>
            </w:r>
          </w:p>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要求</w:t>
            </w: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文本正文应设定文章标题，文章标题放在正文内第一行居中的位置</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各级标题应设置正确，同一级标题使用同样的样式，文本结构清晰</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正文字体、字号、颜色、行间距等要美观、统一</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文本超过 10 页应插入页码；超过 15 页应插入目录</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表格不应超出页面，且要求使用软件的插入表格或绘制表格等功能生成表格，并使用相应功能加工处理，不要用在文本上描绘直线等绘图方式制作表格</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正文中的图像、图形应清晰，图形要符合国家相关绘制标准</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文档保存时的显示比例为 100%、页面视图</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文件名应反映主题内容，尽量与文内标题保持一致，不要使用“1.doc”这类含义不明的标题</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文本如有对齐的要求，要用表格来处理，而不要使用空格来实现</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文本内容应忠实于原文献，完整有序，符合我国法律法规，尊重各民族风俗习惯，版权不存在争议</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文中所用计量符号应符合国家相关标准</w:t>
            </w:r>
          </w:p>
        </w:tc>
      </w:tr>
      <w:tr>
        <w:tblPrEx>
          <w:tblLayout w:type="fixed"/>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文档总页数以不超过 60 页为宜</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3.提交要求</w:t>
      </w:r>
    </w:p>
    <w:tbl>
      <w:tblPr>
        <w:tblStyle w:val="23"/>
        <w:tblW w:w="9299" w:type="dxa"/>
        <w:jc w:val="center"/>
        <w:tblInd w:w="0" w:type="dxa"/>
        <w:tblLayout w:type="fixed"/>
        <w:tblCellMar>
          <w:top w:w="0" w:type="dxa"/>
          <w:left w:w="57" w:type="dxa"/>
          <w:bottom w:w="0" w:type="dxa"/>
          <w:right w:w="0" w:type="dxa"/>
        </w:tblCellMar>
      </w:tblPr>
      <w:tblGrid>
        <w:gridCol w:w="1531"/>
        <w:gridCol w:w="7768"/>
      </w:tblGrid>
      <w:tr>
        <w:tblPrEx>
          <w:tblLayout w:type="fixed"/>
          <w:tblCellMar>
            <w:top w:w="0" w:type="dxa"/>
            <w:left w:w="57" w:type="dxa"/>
            <w:bottom w:w="0" w:type="dxa"/>
            <w:right w:w="0" w:type="dxa"/>
          </w:tblCellMar>
        </w:tblPrEx>
        <w:trPr>
          <w:trHeight w:val="459"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媒体类型</w:t>
            </w:r>
          </w:p>
        </w:tc>
        <w:tc>
          <w:tcPr>
            <w:tcW w:w="7768"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提交要求</w:t>
            </w:r>
          </w:p>
        </w:tc>
      </w:tr>
      <w:tr>
        <w:tblPrEx>
          <w:tblLayout w:type="fixed"/>
          <w:tblCellMar>
            <w:top w:w="0" w:type="dxa"/>
            <w:left w:w="57" w:type="dxa"/>
            <w:bottom w:w="0" w:type="dxa"/>
            <w:right w:w="0" w:type="dxa"/>
          </w:tblCellMar>
        </w:tblPrEx>
        <w:trPr>
          <w:trHeight w:val="643"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w:t>
            </w:r>
          </w:p>
        </w:tc>
        <w:tc>
          <w:tcPr>
            <w:tcW w:w="776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文本内容应相对完整，不可加密</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2"/>
        <w:rPr>
          <w:rFonts w:hint="eastAsia" w:ascii="宋体" w:hAnsi="宋体" w:cs="宋体"/>
          <w:b/>
          <w:bCs/>
          <w:sz w:val="24"/>
          <w:szCs w:val="24"/>
        </w:rPr>
      </w:pPr>
      <w:bookmarkStart w:id="15" w:name="_Toc32766_WPSOffice_Level2"/>
      <w:bookmarkStart w:id="16" w:name="_Toc30043"/>
      <w:bookmarkStart w:id="17" w:name="_Toc273"/>
      <w:bookmarkStart w:id="18" w:name="_Toc24011"/>
      <w:bookmarkStart w:id="19" w:name="_Toc11817"/>
      <w:bookmarkStart w:id="20" w:name="_Toc10350"/>
      <w:bookmarkStart w:id="21" w:name="_Toc30343"/>
      <w:bookmarkStart w:id="22" w:name="_Toc15133"/>
      <w:bookmarkStart w:id="23" w:name="_Toc10807"/>
      <w:bookmarkStart w:id="24" w:name="_Toc2647"/>
      <w:r>
        <w:rPr>
          <w:rFonts w:hint="eastAsia" w:ascii="宋体" w:hAnsi="宋体" w:cs="宋体"/>
          <w:b/>
          <w:bCs/>
          <w:sz w:val="24"/>
          <w:szCs w:val="24"/>
        </w:rPr>
        <w:t>（4）图形/图像类</w:t>
      </w:r>
      <w:bookmarkEnd w:id="15"/>
      <w:r>
        <w:rPr>
          <w:rFonts w:hint="eastAsia" w:ascii="宋体" w:hAnsi="宋体" w:cs="宋体"/>
          <w:b/>
          <w:bCs/>
          <w:sz w:val="24"/>
          <w:szCs w:val="24"/>
        </w:rPr>
        <w:t>技术规范</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1.文件格式</w:t>
      </w:r>
    </w:p>
    <w:tbl>
      <w:tblPr>
        <w:tblStyle w:val="23"/>
        <w:tblW w:w="9454" w:type="dxa"/>
        <w:jc w:val="center"/>
        <w:tblInd w:w="-5" w:type="dxa"/>
        <w:tblLayout w:type="fixed"/>
        <w:tblCellMar>
          <w:top w:w="0" w:type="dxa"/>
          <w:left w:w="0" w:type="dxa"/>
          <w:bottom w:w="0" w:type="dxa"/>
          <w:right w:w="0" w:type="dxa"/>
        </w:tblCellMar>
      </w:tblPr>
      <w:tblGrid>
        <w:gridCol w:w="2703"/>
        <w:gridCol w:w="3027"/>
        <w:gridCol w:w="3724"/>
      </w:tblGrid>
      <w:tr>
        <w:tblPrEx>
          <w:tblLayout w:type="fixed"/>
          <w:tblCellMar>
            <w:top w:w="0" w:type="dxa"/>
            <w:left w:w="0" w:type="dxa"/>
            <w:bottom w:w="0" w:type="dxa"/>
            <w:right w:w="0" w:type="dxa"/>
          </w:tblCellMar>
        </w:tblPrEx>
        <w:trPr>
          <w:trHeight w:val="322"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媒体类型</w:t>
            </w:r>
          </w:p>
        </w:tc>
        <w:tc>
          <w:tcPr>
            <w:tcW w:w="302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扩展名</w:t>
            </w:r>
          </w:p>
        </w:tc>
        <w:tc>
          <w:tcPr>
            <w:tcW w:w="372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说 明</w:t>
            </w:r>
          </w:p>
        </w:tc>
      </w:tr>
      <w:tr>
        <w:tblPrEx>
          <w:tblLayout w:type="fixed"/>
          <w:tblCellMar>
            <w:top w:w="0" w:type="dxa"/>
            <w:left w:w="0" w:type="dxa"/>
            <w:bottom w:w="0" w:type="dxa"/>
            <w:right w:w="0" w:type="dxa"/>
          </w:tblCellMar>
        </w:tblPrEx>
        <w:trPr>
          <w:trHeight w:val="1570"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图形/图像</w:t>
            </w:r>
          </w:p>
        </w:tc>
        <w:tc>
          <w:tcPr>
            <w:tcW w:w="302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*.jpg</w:t>
            </w:r>
          </w:p>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*.png</w:t>
            </w:r>
          </w:p>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*.dwg</w:t>
            </w:r>
          </w:p>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*.wmf</w:t>
            </w:r>
          </w:p>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*.gif</w:t>
            </w:r>
          </w:p>
        </w:tc>
        <w:tc>
          <w:tcPr>
            <w:tcW w:w="3724"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snapToGrid w:val="0"/>
              <w:spacing w:line="400" w:lineRule="exact"/>
              <w:ind w:left="721" w:firstLine="400"/>
              <w:jc w:val="left"/>
              <w:rPr>
                <w:rFonts w:hint="eastAsia" w:ascii="宋体" w:hAnsi="宋体" w:cs="宋体"/>
                <w:kern w:val="0"/>
                <w:sz w:val="24"/>
                <w:szCs w:val="24"/>
              </w:rPr>
            </w:pPr>
            <w:r>
              <w:rPr>
                <w:rFonts w:hint="eastAsia" w:ascii="宋体" w:hAnsi="宋体" w:cs="宋体"/>
                <w:kern w:val="0"/>
                <w:sz w:val="24"/>
                <w:szCs w:val="24"/>
              </w:rPr>
              <w:t>图片压缩格式文件</w:t>
            </w:r>
          </w:p>
          <w:p>
            <w:pPr>
              <w:keepNext w:val="0"/>
              <w:keepLines w:val="0"/>
              <w:pageBreakBefore w:val="0"/>
              <w:widowControl/>
              <w:kinsoku/>
              <w:wordWrap/>
              <w:overflowPunct/>
              <w:topLinePunct w:val="0"/>
              <w:autoSpaceDE w:val="0"/>
              <w:autoSpaceDN w:val="0"/>
              <w:bidi w:val="0"/>
              <w:snapToGrid w:val="0"/>
              <w:spacing w:line="400" w:lineRule="exact"/>
              <w:ind w:left="616" w:firstLine="400"/>
              <w:jc w:val="left"/>
              <w:rPr>
                <w:rFonts w:hint="eastAsia" w:ascii="宋体" w:hAnsi="宋体" w:cs="宋体"/>
                <w:kern w:val="0"/>
                <w:sz w:val="24"/>
                <w:szCs w:val="24"/>
              </w:rPr>
            </w:pPr>
            <w:r>
              <w:rPr>
                <w:rFonts w:hint="eastAsia" w:ascii="宋体" w:hAnsi="宋体" w:cs="宋体"/>
                <w:kern w:val="0"/>
                <w:sz w:val="24"/>
                <w:szCs w:val="24"/>
              </w:rPr>
              <w:t>可移植网络图形格式</w:t>
            </w:r>
          </w:p>
          <w:p>
            <w:pPr>
              <w:keepNext w:val="0"/>
              <w:keepLines w:val="0"/>
              <w:pageBreakBefore w:val="0"/>
              <w:widowControl/>
              <w:kinsoku/>
              <w:wordWrap/>
              <w:overflowPunct/>
              <w:topLinePunct w:val="0"/>
              <w:autoSpaceDE w:val="0"/>
              <w:autoSpaceDN w:val="0"/>
              <w:bidi w:val="0"/>
              <w:snapToGrid w:val="0"/>
              <w:spacing w:line="400" w:lineRule="exact"/>
              <w:ind w:left="677" w:firstLine="400"/>
              <w:jc w:val="left"/>
              <w:rPr>
                <w:rFonts w:hint="eastAsia" w:ascii="宋体" w:hAnsi="宋体" w:cs="宋体"/>
                <w:kern w:val="0"/>
                <w:sz w:val="24"/>
                <w:szCs w:val="24"/>
              </w:rPr>
            </w:pPr>
            <w:r>
              <w:rPr>
                <w:rFonts w:hint="eastAsia" w:ascii="宋体" w:hAnsi="宋体" w:cs="宋体"/>
                <w:kern w:val="0"/>
                <w:sz w:val="24"/>
                <w:szCs w:val="24"/>
              </w:rPr>
              <w:t>AutoCAD 图形文件</w:t>
            </w:r>
          </w:p>
          <w:p>
            <w:pPr>
              <w:keepNext w:val="0"/>
              <w:keepLines w:val="0"/>
              <w:pageBreakBefore w:val="0"/>
              <w:widowControl/>
              <w:kinsoku/>
              <w:wordWrap/>
              <w:overflowPunct/>
              <w:topLinePunct w:val="0"/>
              <w:autoSpaceDE w:val="0"/>
              <w:autoSpaceDN w:val="0"/>
              <w:bidi w:val="0"/>
              <w:snapToGrid w:val="0"/>
              <w:spacing w:line="400" w:lineRule="exact"/>
              <w:ind w:left="1141" w:firstLine="400"/>
              <w:jc w:val="left"/>
              <w:rPr>
                <w:rFonts w:hint="eastAsia" w:ascii="宋体" w:hAnsi="宋体" w:cs="宋体"/>
                <w:kern w:val="0"/>
                <w:sz w:val="24"/>
                <w:szCs w:val="24"/>
              </w:rPr>
            </w:pPr>
            <w:r>
              <w:rPr>
                <w:rFonts w:hint="eastAsia" w:ascii="宋体" w:hAnsi="宋体" w:cs="宋体"/>
                <w:kern w:val="0"/>
                <w:sz w:val="24"/>
                <w:szCs w:val="24"/>
              </w:rPr>
              <w:t>图元文件</w:t>
            </w:r>
          </w:p>
          <w:p>
            <w:pPr>
              <w:keepNext w:val="0"/>
              <w:keepLines w:val="0"/>
              <w:pageBreakBefore w:val="0"/>
              <w:widowControl/>
              <w:kinsoku/>
              <w:wordWrap/>
              <w:overflowPunct/>
              <w:topLinePunct w:val="0"/>
              <w:autoSpaceDE w:val="0"/>
              <w:autoSpaceDN w:val="0"/>
              <w:bidi w:val="0"/>
              <w:adjustRightInd w:val="0"/>
              <w:snapToGrid w:val="0"/>
              <w:spacing w:line="400" w:lineRule="exact"/>
              <w:ind w:left="721" w:firstLine="480" w:firstLineChars="200"/>
              <w:jc w:val="left"/>
              <w:rPr>
                <w:rFonts w:hint="eastAsia" w:ascii="宋体" w:hAnsi="宋体" w:cs="宋体"/>
                <w:kern w:val="0"/>
                <w:sz w:val="24"/>
                <w:szCs w:val="24"/>
              </w:rPr>
            </w:pPr>
            <w:r>
              <w:rPr>
                <w:rFonts w:hint="eastAsia" w:ascii="宋体" w:hAnsi="宋体" w:cs="宋体"/>
                <w:kern w:val="0"/>
                <w:sz w:val="24"/>
                <w:szCs w:val="24"/>
              </w:rPr>
              <w:t>图像互换格式文件</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23"/>
        <w:tblW w:w="9454" w:type="dxa"/>
        <w:jc w:val="center"/>
        <w:tblInd w:w="0" w:type="dxa"/>
        <w:tblLayout w:type="fixed"/>
        <w:tblCellMar>
          <w:top w:w="113" w:type="dxa"/>
          <w:left w:w="113" w:type="dxa"/>
          <w:bottom w:w="0" w:type="dxa"/>
          <w:right w:w="0" w:type="dxa"/>
        </w:tblCellMar>
      </w:tblPr>
      <w:tblGrid>
        <w:gridCol w:w="892"/>
        <w:gridCol w:w="8562"/>
      </w:tblGrid>
      <w:tr>
        <w:tblPrEx>
          <w:tblLayout w:type="fixed"/>
          <w:tblCellMar>
            <w:top w:w="113" w:type="dxa"/>
            <w:left w:w="113" w:type="dxa"/>
            <w:bottom w:w="0" w:type="dxa"/>
            <w:right w:w="0" w:type="dxa"/>
          </w:tblCellMar>
        </w:tblPrEx>
        <w:trPr>
          <w:trHeight w:val="23" w:hRule="atLeast"/>
          <w:jc w:val="center"/>
        </w:trPr>
        <w:tc>
          <w:tcPr>
            <w:tcW w:w="94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技术要求</w:t>
            </w:r>
          </w:p>
        </w:tc>
      </w:tr>
      <w:tr>
        <w:tblPrEx>
          <w:tblLayout w:type="fixed"/>
          <w:tblCellMar>
            <w:top w:w="113" w:type="dxa"/>
            <w:left w:w="113" w:type="dxa"/>
            <w:bottom w:w="0" w:type="dxa"/>
            <w:right w:w="0" w:type="dxa"/>
          </w:tblCellMar>
        </w:tblPrEx>
        <w:trPr>
          <w:trHeight w:val="23" w:hRule="atLeast"/>
          <w:jc w:val="center"/>
        </w:trPr>
        <w:tc>
          <w:tcPr>
            <w:tcW w:w="892"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色彩</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彩色图像颜色数不低于真彩（24 位色），灰度图像的灰度级不低于256 级    </w:t>
            </w:r>
          </w:p>
        </w:tc>
      </w:tr>
      <w:tr>
        <w:tblPrEx>
          <w:tblLayout w:type="fixed"/>
          <w:tblCellMar>
            <w:top w:w="113" w:type="dxa"/>
            <w:left w:w="113" w:type="dxa"/>
            <w:bottom w:w="0" w:type="dxa"/>
            <w:right w:w="0"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分辨率</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屏幕分辨率不低于 1024×768 时，扫描图像的扫描分辨率不低于 72  dpi，彩色扫描图像的扫描分辨率不低于 150dpi    </w:t>
            </w:r>
          </w:p>
        </w:tc>
      </w:tr>
      <w:tr>
        <w:tblPrEx>
          <w:tblLayout w:type="fixed"/>
          <w:tblCellMar>
            <w:top w:w="113" w:type="dxa"/>
            <w:left w:w="113" w:type="dxa"/>
            <w:bottom w:w="0" w:type="dxa"/>
            <w:right w:w="0" w:type="dxa"/>
          </w:tblCellMar>
        </w:tblPrEx>
        <w:trPr>
          <w:trHeight w:val="23" w:hRule="atLeast"/>
          <w:jc w:val="center"/>
        </w:trPr>
        <w:tc>
          <w:tcPr>
            <w:tcW w:w="89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清晰度</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图像内容清晰可辨识，不需要借助额外的设备即可辨认图片资源所需要表达的主体内容    </w:t>
            </w:r>
          </w:p>
        </w:tc>
      </w:tr>
      <w:tr>
        <w:tblPrEx>
          <w:tblLayout w:type="fixed"/>
          <w:tblCellMar>
            <w:top w:w="113" w:type="dxa"/>
            <w:left w:w="113" w:type="dxa"/>
            <w:bottom w:w="0" w:type="dxa"/>
            <w:right w:w="0" w:type="dxa"/>
          </w:tblCellMar>
        </w:tblPrEx>
        <w:trPr>
          <w:trHeight w:val="23" w:hRule="atLeast"/>
          <w:jc w:val="center"/>
        </w:trPr>
        <w:tc>
          <w:tcPr>
            <w:tcW w:w="8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所有图像扫描后，需要使用 Photoshop 或其他图像处理软件进行裁剪、校色、去污、纠偏等处理，使页面整洁、清晰    </w:t>
            </w:r>
          </w:p>
        </w:tc>
      </w:tr>
      <w:tr>
        <w:tblPrEx>
          <w:tblLayout w:type="fixed"/>
          <w:tblCellMar>
            <w:top w:w="113" w:type="dxa"/>
            <w:left w:w="113" w:type="dxa"/>
            <w:bottom w:w="0" w:type="dxa"/>
            <w:right w:w="0"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内容</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图形/图像内容符合我国法律法规，尊重各民族的风俗习惯，版权不存在争议    </w:t>
            </w:r>
          </w:p>
        </w:tc>
      </w:tr>
    </w:tbl>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3．提交要求</w:t>
      </w:r>
    </w:p>
    <w:tbl>
      <w:tblPr>
        <w:tblStyle w:val="23"/>
        <w:tblW w:w="9463" w:type="dxa"/>
        <w:jc w:val="center"/>
        <w:tblInd w:w="-5" w:type="dxa"/>
        <w:tblLayout w:type="fixed"/>
        <w:tblCellMar>
          <w:top w:w="0" w:type="dxa"/>
          <w:left w:w="0" w:type="dxa"/>
          <w:bottom w:w="0" w:type="dxa"/>
          <w:right w:w="0" w:type="dxa"/>
        </w:tblCellMar>
      </w:tblPr>
      <w:tblGrid>
        <w:gridCol w:w="1883"/>
        <w:gridCol w:w="7580"/>
      </w:tblGrid>
      <w:tr>
        <w:tblPrEx>
          <w:tblLayout w:type="fixed"/>
          <w:tblCellMar>
            <w:top w:w="0" w:type="dxa"/>
            <w:left w:w="0" w:type="dxa"/>
            <w:bottom w:w="0" w:type="dxa"/>
            <w:right w:w="0" w:type="dxa"/>
          </w:tblCellMar>
        </w:tblPrEx>
        <w:trPr>
          <w:trHeight w:val="331" w:hRule="atLeast"/>
          <w:jc w:val="center"/>
        </w:trPr>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媒体类型</w:t>
            </w:r>
          </w:p>
        </w:tc>
        <w:tc>
          <w:tcPr>
            <w:tcW w:w="7580"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提交要求</w:t>
            </w:r>
          </w:p>
        </w:tc>
      </w:tr>
      <w:tr>
        <w:tblPrEx>
          <w:tblLayout w:type="fixed"/>
          <w:tblCellMar>
            <w:top w:w="0" w:type="dxa"/>
            <w:left w:w="0" w:type="dxa"/>
            <w:bottom w:w="0" w:type="dxa"/>
            <w:right w:w="0" w:type="dxa"/>
          </w:tblCellMar>
        </w:tblPrEx>
        <w:trPr>
          <w:trHeight w:val="322" w:hRule="atLeast"/>
          <w:jc w:val="center"/>
        </w:trPr>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图形/图像</w:t>
            </w:r>
          </w:p>
        </w:tc>
        <w:tc>
          <w:tcPr>
            <w:tcW w:w="7580"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图形/图像需提交原始文件</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2"/>
        <w:rPr>
          <w:rFonts w:hint="eastAsia" w:ascii="宋体" w:hAnsi="宋体" w:cs="宋体"/>
          <w:b/>
          <w:bCs/>
          <w:sz w:val="24"/>
          <w:szCs w:val="24"/>
        </w:rPr>
      </w:pPr>
      <w:bookmarkStart w:id="25" w:name="_Toc1390_WPSOffice_Level2"/>
      <w:bookmarkStart w:id="26" w:name="_Toc26883"/>
      <w:bookmarkStart w:id="27" w:name="_Toc29972"/>
      <w:bookmarkStart w:id="28" w:name="_Toc19773"/>
      <w:bookmarkStart w:id="29" w:name="_Toc30402"/>
      <w:r>
        <w:rPr>
          <w:rFonts w:hint="eastAsia" w:ascii="宋体" w:hAnsi="宋体" w:cs="宋体"/>
          <w:b/>
          <w:bCs/>
          <w:sz w:val="24"/>
          <w:szCs w:val="24"/>
        </w:rPr>
        <w:t>（5）动画类</w:t>
      </w:r>
      <w:bookmarkEnd w:id="25"/>
      <w:r>
        <w:rPr>
          <w:rFonts w:hint="eastAsia" w:ascii="宋体" w:hAnsi="宋体" w:cs="宋体"/>
          <w:b/>
          <w:bCs/>
          <w:sz w:val="24"/>
          <w:szCs w:val="24"/>
        </w:rPr>
        <w:t>技术规范</w:t>
      </w:r>
      <w:bookmarkEnd w:id="26"/>
      <w:bookmarkEnd w:id="27"/>
      <w:bookmarkEnd w:id="28"/>
      <w:bookmarkEnd w:id="29"/>
    </w:p>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1．文件格式</w:t>
      </w:r>
    </w:p>
    <w:tbl>
      <w:tblPr>
        <w:tblStyle w:val="23"/>
        <w:tblW w:w="9259" w:type="dxa"/>
        <w:jc w:val="center"/>
        <w:tblInd w:w="-5" w:type="dxa"/>
        <w:tblLayout w:type="fixed"/>
        <w:tblCellMar>
          <w:top w:w="0" w:type="dxa"/>
          <w:left w:w="0" w:type="dxa"/>
          <w:bottom w:w="0" w:type="dxa"/>
          <w:right w:w="0" w:type="dxa"/>
        </w:tblCellMar>
      </w:tblPr>
      <w:tblGrid>
        <w:gridCol w:w="3053"/>
        <w:gridCol w:w="3236"/>
        <w:gridCol w:w="2970"/>
      </w:tblGrid>
      <w:tr>
        <w:tblPrEx>
          <w:tblLayout w:type="fixed"/>
          <w:tblCellMar>
            <w:top w:w="0" w:type="dxa"/>
            <w:left w:w="0" w:type="dxa"/>
            <w:bottom w:w="0" w:type="dxa"/>
            <w:right w:w="0" w:type="dxa"/>
          </w:tblCellMar>
        </w:tblPrEx>
        <w:trPr>
          <w:trHeight w:val="322"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媒体类型</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扩展名</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说 明</w:t>
            </w:r>
          </w:p>
        </w:tc>
      </w:tr>
      <w:tr>
        <w:tblPrEx>
          <w:tblLayout w:type="fixed"/>
          <w:tblCellMar>
            <w:top w:w="0" w:type="dxa"/>
            <w:left w:w="0" w:type="dxa"/>
            <w:bottom w:w="0" w:type="dxa"/>
            <w:right w:w="0" w:type="dxa"/>
          </w:tblCellMar>
        </w:tblPrEx>
        <w:trPr>
          <w:trHeight w:val="322"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MG 动画</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*.MP4</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MG 动画文件</w:t>
            </w:r>
          </w:p>
        </w:tc>
      </w:tr>
      <w:tr>
        <w:tblPrEx>
          <w:tblLayout w:type="fixed"/>
          <w:tblCellMar>
            <w:top w:w="0" w:type="dxa"/>
            <w:left w:w="0" w:type="dxa"/>
            <w:bottom w:w="0" w:type="dxa"/>
            <w:right w:w="0" w:type="dxa"/>
          </w:tblCellMar>
        </w:tblPrEx>
        <w:trPr>
          <w:trHeight w:val="454"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Flash 动画</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*.swf</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left="200"/>
              <w:jc w:val="left"/>
              <w:rPr>
                <w:rFonts w:hint="eastAsia" w:ascii="宋体" w:hAnsi="宋体" w:cs="宋体"/>
                <w:kern w:val="0"/>
                <w:sz w:val="24"/>
                <w:szCs w:val="24"/>
              </w:rPr>
            </w:pPr>
            <w:r>
              <w:rPr>
                <w:rFonts w:hint="eastAsia" w:ascii="宋体" w:hAnsi="宋体" w:cs="宋体"/>
                <w:kern w:val="0"/>
                <w:sz w:val="24"/>
                <w:szCs w:val="24"/>
              </w:rPr>
              <w:t>Flash 动画文件</w:t>
            </w:r>
          </w:p>
        </w:tc>
      </w:tr>
    </w:tbl>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2．技术要求</w:t>
      </w:r>
    </w:p>
    <w:tbl>
      <w:tblPr>
        <w:tblStyle w:val="23"/>
        <w:tblW w:w="9519" w:type="dxa"/>
        <w:jc w:val="center"/>
        <w:tblInd w:w="0" w:type="dxa"/>
        <w:tblLayout w:type="fixed"/>
        <w:tblCellMar>
          <w:top w:w="113" w:type="dxa"/>
          <w:left w:w="113" w:type="dxa"/>
          <w:bottom w:w="0" w:type="dxa"/>
          <w:right w:w="0" w:type="dxa"/>
        </w:tblCellMar>
      </w:tblPr>
      <w:tblGrid>
        <w:gridCol w:w="862"/>
        <w:gridCol w:w="8657"/>
      </w:tblGrid>
      <w:tr>
        <w:tblPrEx>
          <w:tblLayout w:type="fixed"/>
          <w:tblCellMar>
            <w:top w:w="113" w:type="dxa"/>
            <w:left w:w="113" w:type="dxa"/>
            <w:bottom w:w="0" w:type="dxa"/>
            <w:right w:w="0" w:type="dxa"/>
          </w:tblCellMar>
        </w:tblPrEx>
        <w:trPr>
          <w:trHeight w:val="23" w:hRule="atLeast"/>
          <w:jc w:val="center"/>
        </w:trPr>
        <w:tc>
          <w:tcPr>
            <w:tcW w:w="95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left="3314" w:firstLine="480" w:firstLineChars="200"/>
              <w:jc w:val="left"/>
              <w:rPr>
                <w:rFonts w:hint="eastAsia" w:ascii="宋体" w:hAnsi="宋体" w:cs="宋体"/>
                <w:kern w:val="0"/>
                <w:sz w:val="24"/>
                <w:szCs w:val="24"/>
              </w:rPr>
            </w:pPr>
            <w:r>
              <w:rPr>
                <w:rFonts w:hint="eastAsia" w:ascii="宋体" w:hAnsi="宋体" w:cs="宋体"/>
                <w:kern w:val="0"/>
                <w:sz w:val="24"/>
                <w:szCs w:val="24"/>
              </w:rPr>
              <w:t>技术要求</w:t>
            </w:r>
          </w:p>
        </w:tc>
      </w:tr>
      <w:tr>
        <w:tblPrEx>
          <w:tblLayout w:type="fixed"/>
          <w:tblCellMar>
            <w:top w:w="113" w:type="dxa"/>
            <w:left w:w="113" w:type="dxa"/>
            <w:bottom w:w="0" w:type="dxa"/>
            <w:right w:w="0" w:type="dxa"/>
          </w:tblCellMar>
        </w:tblPrEx>
        <w:trPr>
          <w:trHeight w:val="23" w:hRule="atLeast"/>
          <w:jc w:val="center"/>
        </w:trPr>
        <w:tc>
          <w:tcPr>
            <w:tcW w:w="86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品质</w:t>
            </w:r>
          </w:p>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要求</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动画的开始要有醒目的标题，标题要能够体现动画所表现的内容</w:t>
            </w:r>
          </w:p>
        </w:tc>
      </w:tr>
      <w:tr>
        <w:tblPrEx>
          <w:tblLayout w:type="fixed"/>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动画色彩造型应和谐，画面简洁清晰，界面友好，交互设计合理，操作简单</w:t>
            </w:r>
          </w:p>
        </w:tc>
      </w:tr>
      <w:tr>
        <w:tblPrEx>
          <w:tblLayout w:type="fixed"/>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动画连续，节奏合适，帧和帧之间的关联性要强</w:t>
            </w:r>
          </w:p>
        </w:tc>
      </w:tr>
      <w:tr>
        <w:tblPrEx>
          <w:tblLayout w:type="fixed"/>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动画演播过程要流畅，静止画面时间不超过 5 秒钟</w:t>
            </w:r>
          </w:p>
        </w:tc>
      </w:tr>
      <w:tr>
        <w:tblPrEx>
          <w:tblLayout w:type="fixed"/>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一般情况下，应设置暂停与播放控制按钮，当动画时间较长时应设置进度拖动条</w:t>
            </w:r>
          </w:p>
        </w:tc>
      </w:tr>
      <w:tr>
        <w:tblPrEx>
          <w:tblLayout w:type="fixed"/>
          <w:tblCellMar>
            <w:top w:w="113" w:type="dxa"/>
            <w:left w:w="113" w:type="dxa"/>
            <w:bottom w:w="0" w:type="dxa"/>
            <w:right w:w="0" w:type="dxa"/>
          </w:tblCellMar>
        </w:tblPrEx>
        <w:trPr>
          <w:trHeight w:val="23" w:hRule="atLeast"/>
          <w:jc w:val="center"/>
        </w:trPr>
        <w:tc>
          <w:tcPr>
            <w:tcW w:w="86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内容</w:t>
            </w:r>
          </w:p>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要求</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动画内容符合我国法律法规，尊重各民族的风俗习惯，版权不存在争议</w:t>
            </w:r>
          </w:p>
        </w:tc>
      </w:tr>
      <w:tr>
        <w:tblPrEx>
          <w:tblLayout w:type="fixed"/>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若其中包含少数民族或外国语言文字信息，应遵循其原内容完整性，使用原语言进行处理</w:t>
            </w:r>
          </w:p>
        </w:tc>
      </w:tr>
      <w:tr>
        <w:tblPrEx>
          <w:tblLayout w:type="fixed"/>
          <w:tblCellMar>
            <w:top w:w="113" w:type="dxa"/>
            <w:left w:w="113" w:type="dxa"/>
            <w:bottom w:w="0" w:type="dxa"/>
            <w:right w:w="0" w:type="dxa"/>
          </w:tblCellMar>
        </w:tblPrEx>
        <w:trPr>
          <w:trHeight w:val="23"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存储</w:t>
            </w:r>
          </w:p>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格式</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采用 SWF（不低于 Flash6.0）或mp4 存储格式</w:t>
            </w:r>
          </w:p>
        </w:tc>
      </w:tr>
    </w:tbl>
    <w:p>
      <w:pPr>
        <w:keepNext w:val="0"/>
        <w:keepLines w:val="0"/>
        <w:pageBreakBefore w:val="0"/>
        <w:kinsoku/>
        <w:wordWrap/>
        <w:overflowPunct/>
        <w:topLinePunct w:val="0"/>
        <w:bidi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3.提交要求</w:t>
      </w:r>
    </w:p>
    <w:tbl>
      <w:tblPr>
        <w:tblStyle w:val="23"/>
        <w:tblW w:w="9199" w:type="dxa"/>
        <w:jc w:val="center"/>
        <w:tblInd w:w="0" w:type="dxa"/>
        <w:tblLayout w:type="fixed"/>
        <w:tblCellMar>
          <w:top w:w="113" w:type="dxa"/>
          <w:left w:w="113" w:type="dxa"/>
          <w:bottom w:w="0" w:type="dxa"/>
          <w:right w:w="0" w:type="dxa"/>
        </w:tblCellMar>
      </w:tblPr>
      <w:tblGrid>
        <w:gridCol w:w="1351"/>
        <w:gridCol w:w="7848"/>
      </w:tblGrid>
      <w:tr>
        <w:tblPrEx>
          <w:tblLayout w:type="fixed"/>
          <w:tblCellMar>
            <w:top w:w="113" w:type="dxa"/>
            <w:left w:w="113" w:type="dxa"/>
            <w:bottom w:w="0" w:type="dxa"/>
            <w:right w:w="0" w:type="dxa"/>
          </w:tblCellMar>
        </w:tblPrEx>
        <w:trPr>
          <w:trHeight w:val="574"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left="112"/>
              <w:jc w:val="left"/>
              <w:rPr>
                <w:rFonts w:hint="eastAsia" w:ascii="宋体" w:hAnsi="宋体" w:cs="宋体"/>
                <w:kern w:val="0"/>
                <w:sz w:val="24"/>
                <w:szCs w:val="24"/>
              </w:rPr>
            </w:pPr>
            <w:r>
              <w:rPr>
                <w:rFonts w:hint="eastAsia" w:ascii="宋体" w:hAnsi="宋体" w:cs="宋体"/>
                <w:kern w:val="0"/>
                <w:sz w:val="24"/>
                <w:szCs w:val="24"/>
              </w:rPr>
              <w:t xml:space="preserve">媒体类型     </w:t>
            </w: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left="2512"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提交要求     </w:t>
            </w:r>
          </w:p>
        </w:tc>
      </w:tr>
      <w:tr>
        <w:tblPrEx>
          <w:tblLayout w:type="fixed"/>
          <w:tblCellMar>
            <w:top w:w="113" w:type="dxa"/>
            <w:left w:w="113" w:type="dxa"/>
            <w:bottom w:w="0" w:type="dxa"/>
            <w:right w:w="0" w:type="dxa"/>
          </w:tblCellMar>
        </w:tblPrEx>
        <w:trPr>
          <w:trHeight w:val="1029" w:hRule="atLeast"/>
          <w:jc w:val="center"/>
        </w:trPr>
        <w:tc>
          <w:tcPr>
            <w:tcW w:w="1351"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动画</w:t>
            </w: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保持每个动画素材的独立性，尽量不设置两个或多个动画文件之间的嵌套及链接关系    </w:t>
            </w:r>
          </w:p>
        </w:tc>
      </w:tr>
      <w:tr>
        <w:tblPrEx>
          <w:tblLayout w:type="fixed"/>
          <w:tblCellMar>
            <w:top w:w="113" w:type="dxa"/>
            <w:left w:w="113" w:type="dxa"/>
            <w:bottom w:w="0" w:type="dxa"/>
            <w:right w:w="0" w:type="dxa"/>
          </w:tblCellMar>
        </w:tblPrEx>
        <w:trPr>
          <w:trHeight w:val="576" w:hRule="atLeast"/>
          <w:jc w:val="center"/>
        </w:trPr>
        <w:tc>
          <w:tcPr>
            <w:tcW w:w="135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所有动画数据都需要制作成 MP4格式或SWF 格式、MOV格式</w:t>
            </w:r>
          </w:p>
        </w:tc>
      </w:tr>
      <w:tr>
        <w:tblPrEx>
          <w:tblLayout w:type="fixed"/>
          <w:tblCellMar>
            <w:top w:w="113" w:type="dxa"/>
            <w:left w:w="113" w:type="dxa"/>
            <w:bottom w:w="0" w:type="dxa"/>
            <w:right w:w="0" w:type="dxa"/>
          </w:tblCellMar>
        </w:tblPrEx>
        <w:trPr>
          <w:trHeight w:val="584" w:hRule="atLeast"/>
          <w:jc w:val="center"/>
        </w:trPr>
        <w:tc>
          <w:tcPr>
            <w:tcW w:w="135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val="0"/>
              <w:spacing w:line="400" w:lineRule="exact"/>
              <w:jc w:val="left"/>
              <w:rPr>
                <w:rFonts w:hint="eastAsia" w:ascii="宋体" w:hAnsi="宋体" w:cs="宋体"/>
                <w:kern w:val="0"/>
                <w:sz w:val="24"/>
                <w:szCs w:val="24"/>
              </w:rPr>
            </w:pP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val="0"/>
              <w:autoSpaceDN w:val="0"/>
              <w:bidi w:val="0"/>
              <w:adjustRightInd w:val="0"/>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 xml:space="preserve">要求提交动画源文件、打过 logo 的可执行文件    </w:t>
            </w:r>
          </w:p>
        </w:tc>
      </w:tr>
      <w:bookmarkEnd w:id="20"/>
      <w:bookmarkEnd w:id="21"/>
      <w:bookmarkEnd w:id="22"/>
      <w:bookmarkEnd w:id="23"/>
      <w:bookmarkEnd w:id="24"/>
    </w:tbl>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1"/>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outlineLvl w:val="1"/>
        <w:rPr>
          <w:rFonts w:hint="eastAsia"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6</w:t>
      </w:r>
      <w:r>
        <w:rPr>
          <w:rFonts w:hint="eastAsia" w:ascii="宋体" w:hAnsi="宋体" w:cs="宋体"/>
          <w:b/>
          <w:bCs/>
          <w:sz w:val="24"/>
          <w:szCs w:val="24"/>
        </w:rPr>
        <w:t>）</w:t>
      </w:r>
      <w:r>
        <w:rPr>
          <w:rStyle w:val="27"/>
          <w:rFonts w:hint="eastAsia" w:ascii="宋体" w:hAnsi="宋体" w:eastAsia="宋体" w:cs="宋体"/>
          <w:color w:val="auto"/>
          <w:sz w:val="24"/>
          <w:highlight w:val="none"/>
        </w:rPr>
        <w:t>课程资源开发管理系统</w:t>
      </w:r>
      <w:r>
        <w:rPr>
          <w:rFonts w:hint="eastAsia" w:ascii="宋体" w:hAnsi="宋体" w:cs="宋体"/>
          <w:b/>
          <w:bCs/>
          <w:color w:val="auto"/>
          <w:sz w:val="24"/>
          <w:highlight w:val="none"/>
        </w:rPr>
        <w:t>（服务期使用），主要用于课程资源制作过程中微视频的制作与管理，要求如下：</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该系统主要应用于课程资源建设全过程管理，有助于管理者对项目建设进度进行实时查看和管理；有助于新建课程者对建设过程所需应用到的资料进行借阅和引用；有助于新建课程者梳理课程资源建设的基本流程和工作安排，是建设者与制作者之间沟通和修改的平台。</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6.1、以柱状图的形式对在建的所有课程完成情况进行展示；当鼠标移至柱状图上，显示对应课程的完成进度；当鼠标点击柱状图时，以柱状图显示对应课程下的视频、动画、课件、题库、文本材料等资源的完成进度。（须现场演示）</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6.2、以圆环图的形式对平台内所有课程所属专业大类进行统计，当鼠标移至圆环图上，显示各大类的课程数量，圆环图上各专业大类的面积大小以课程数量来呈现。（须提供国家认可的检测机构出具的有效测试报告复印件）</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6.3、以卡片的形式在页面上展现平台中所有的在建课程。</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6.4、可以清晰查看课程制作的流程引导，初次使用平台的教师用户可根据课程制作的流程引导图的提示来完成课程的在线制作。当鼠标放在具体某个步骤上，会弹框显示该步骤的具体描述。</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6.5、教师在新建课程的时候可以选择本校的教师对此新建的课程进行协同编辑。被邀请的教师可以对这个新建的课程进行建课编辑。</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6.6、对课程浏览里的课程教师可以只进行目录的引用，点击引用，引用目录到新建课程中，并可以对引用的目录进行再编辑。</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★6.7、可对课程的目录进行手动添加、删除、修改操作。并可以通过平台提供的模板自动导入。（须现场演示；须提供国家认可的检测机构出具的有效测试报告复印件）</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6.8、平台提供脚本撰写模板，教师可在平台中直接撰写动画脚本，也可通过平台导入功能，导入教师编写好的脚本。</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6.9、视频拍摄剪辑后，企业人员将视频初稿上传至平台，教师对企业制作好并上传的视频初稿进行查看，平台支持在线播放视频，并可在播放过程中对视频画面进行批注和文字标识，每修改一处，自动形成标注记录同时在原文件中进行标识，企业人员登录平台后，通过标注记录和播放视频可看到教师修改的批注标识，以此来指导企业员工对视频的某些修改细节。（须现场演示）</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80" w:firstLineChars="200"/>
        <w:jc w:val="left"/>
        <w:textAlignment w:val="auto"/>
        <w:rPr>
          <w:rFonts w:hint="eastAsia" w:cs="宋体"/>
          <w:b w:val="0"/>
          <w:bCs w:val="0"/>
          <w:sz w:val="24"/>
          <w:szCs w:val="24"/>
          <w:lang w:val="en-US" w:eastAsia="zh-CN"/>
        </w:rPr>
      </w:pPr>
      <w:r>
        <w:rPr>
          <w:rFonts w:hint="eastAsia" w:cs="宋体"/>
          <w:b w:val="0"/>
          <w:bCs w:val="0"/>
          <w:sz w:val="24"/>
          <w:szCs w:val="24"/>
          <w:lang w:val="en-US" w:eastAsia="zh-CN"/>
        </w:rPr>
        <w:t>6.10、动画制作完成后，企业人员将动画初稿上传至平台，教师对企业制作好并上传的动画初稿进行查看，平台支持在线播放动画，并可在播放过程中对动画画面进行批注和文字标识，每修改一处，自动形成标注记录同时在原文件中进行标识，企业人员登录平台后，通过标注记录和播放动画可看到教师修改的批注标识，以此来指导企业员工对动画的某些修改细节。</w:t>
      </w:r>
    </w:p>
    <w:p>
      <w:pPr>
        <w:pStyle w:val="19"/>
        <w:keepNext w:val="0"/>
        <w:keepLines w:val="0"/>
        <w:pageBreakBefore w:val="0"/>
        <w:widowControl/>
        <w:kinsoku/>
        <w:wordWrap/>
        <w:overflowPunct/>
        <w:topLinePunct w:val="0"/>
        <w:bidi w:val="0"/>
        <w:snapToGrid w:val="0"/>
        <w:spacing w:beforeAutospacing="0" w:afterAutospacing="0" w:line="400" w:lineRule="exact"/>
        <w:ind w:firstLine="480" w:firstLineChars="200"/>
        <w:jc w:val="left"/>
        <w:rPr>
          <w:rFonts w:hint="eastAsia" w:ascii="宋体" w:hAnsi="宋体" w:cs="宋体"/>
          <w:color w:val="auto"/>
          <w:highlight w:val="none"/>
        </w:rPr>
      </w:pPr>
      <w:r>
        <w:rPr>
          <w:rFonts w:hint="eastAsia" w:cs="宋体"/>
          <w:b w:val="0"/>
          <w:bCs w:val="0"/>
          <w:sz w:val="24"/>
          <w:szCs w:val="24"/>
          <w:lang w:val="en-US" w:eastAsia="zh-CN"/>
        </w:rPr>
        <w:t>6.11、对比播放：在视频（动画）制作页面可以选择两个视频同屏播放，老师以此来观察两个视频的修改变化。（须现场演示）</w:t>
      </w:r>
    </w:p>
    <w:p>
      <w:pPr>
        <w:spacing w:line="400" w:lineRule="exact"/>
        <w:ind w:firstLine="480" w:firstLineChars="200"/>
        <w:rPr>
          <w:rFonts w:ascii="宋体" w:hAnsi="宋体" w:cs="宋体"/>
          <w:color w:val="auto"/>
          <w:sz w:val="24"/>
          <w:highlight w:val="none"/>
        </w:rPr>
      </w:pPr>
    </w:p>
    <w:p>
      <w:pPr>
        <w:pStyle w:val="19"/>
        <w:widowControl/>
        <w:spacing w:before="75" w:after="75" w:line="360" w:lineRule="auto"/>
        <w:rPr>
          <w:rFonts w:ascii="宋体" w:hAnsi="宋体" w:cs="宋体"/>
          <w:color w:val="auto"/>
          <w:highlight w:val="none"/>
        </w:rPr>
      </w:pPr>
      <w:r>
        <w:rPr>
          <w:rFonts w:hint="eastAsia" w:ascii="宋体" w:hAnsi="宋体" w:cs="宋体"/>
          <w:color w:val="auto"/>
          <w:highlight w:val="none"/>
        </w:rPr>
        <w:t>三、商务条件</w:t>
      </w:r>
      <w:r>
        <w:rPr>
          <w:rStyle w:val="27"/>
          <w:rFonts w:hint="eastAsia" w:ascii="宋体" w:hAnsi="宋体" w:cs="宋体"/>
          <w:color w:val="auto"/>
          <w:highlight w:val="none"/>
        </w:rPr>
        <w:t>（以“★”标示的内容为不允许负偏离的实质性要求）</w:t>
      </w:r>
    </w:p>
    <w:p>
      <w:pPr>
        <w:pStyle w:val="11"/>
        <w:snapToGrid w:val="0"/>
        <w:spacing w:line="420" w:lineRule="exact"/>
        <w:ind w:right="-313" w:rightChars="-149"/>
        <w:rPr>
          <w:rFonts w:hAnsi="宋体" w:cs="宋体"/>
          <w:color w:val="auto"/>
          <w:sz w:val="24"/>
          <w:szCs w:val="24"/>
          <w:highlight w:val="none"/>
        </w:rPr>
      </w:pPr>
      <w:r>
        <w:rPr>
          <w:rStyle w:val="27"/>
          <w:rFonts w:hint="eastAsia" w:hAnsi="宋体" w:cs="宋体"/>
          <w:color w:val="auto"/>
          <w:sz w:val="24"/>
          <w:szCs w:val="24"/>
          <w:highlight w:val="none"/>
        </w:rPr>
        <w:t>包：1</w:t>
      </w:r>
      <w:r>
        <w:rPr>
          <w:rStyle w:val="27"/>
          <w:rFonts w:hint="eastAsia" w:hAnsi="宋体" w:cs="宋体"/>
          <w:color w:val="auto"/>
          <w:sz w:val="24"/>
          <w:szCs w:val="24"/>
          <w:highlight w:val="none"/>
        </w:rPr>
        <w:br w:type="textWrapping"/>
      </w:r>
      <w:r>
        <w:rPr>
          <w:rStyle w:val="27"/>
          <w:rFonts w:hint="eastAsia" w:hAnsi="宋体" w:cs="宋体"/>
          <w:color w:val="auto"/>
          <w:sz w:val="24"/>
          <w:szCs w:val="24"/>
          <w:highlight w:val="none"/>
        </w:rPr>
        <w:t xml:space="preserve">1、交付地点：莆田市涵江区梧塘镇荔涵东大道1001号 </w:t>
      </w:r>
      <w:r>
        <w:rPr>
          <w:rStyle w:val="27"/>
          <w:rFonts w:hint="eastAsia" w:hAnsi="宋体" w:cs="宋体"/>
          <w:color w:val="auto"/>
          <w:sz w:val="24"/>
          <w:szCs w:val="24"/>
          <w:highlight w:val="none"/>
        </w:rPr>
        <w:br w:type="textWrapping"/>
      </w:r>
      <w:r>
        <w:rPr>
          <w:rStyle w:val="27"/>
          <w:rFonts w:hint="eastAsia" w:hAnsi="宋体" w:cs="宋体"/>
          <w:color w:val="auto"/>
          <w:sz w:val="24"/>
          <w:szCs w:val="24"/>
          <w:highlight w:val="none"/>
        </w:rPr>
        <w:t>2、交付时间：合同签订后壹年内交货</w:t>
      </w:r>
    </w:p>
    <w:p>
      <w:pPr>
        <w:pStyle w:val="19"/>
        <w:widowControl/>
        <w:numPr>
          <w:ilvl w:val="0"/>
          <w:numId w:val="5"/>
        </w:numPr>
        <w:spacing w:line="440" w:lineRule="exact"/>
        <w:rPr>
          <w:rStyle w:val="27"/>
          <w:rFonts w:ascii="宋体" w:hAnsi="宋体" w:cs="宋体"/>
          <w:color w:val="auto"/>
          <w:highlight w:val="none"/>
        </w:rPr>
      </w:pPr>
      <w:r>
        <w:rPr>
          <w:rStyle w:val="27"/>
          <w:rFonts w:hint="eastAsia" w:ascii="宋体" w:hAnsi="宋体" w:cs="宋体"/>
          <w:color w:val="auto"/>
          <w:highlight w:val="none"/>
        </w:rPr>
        <w:t>交付条件：完成全部课程的拍摄，课程质量达到采购人的要求，整体课程建设各项指标满足全部应标技术参数要求。</w:t>
      </w:r>
      <w:r>
        <w:rPr>
          <w:rStyle w:val="27"/>
          <w:rFonts w:hint="eastAsia" w:ascii="宋体" w:hAnsi="宋体" w:cs="宋体"/>
          <w:color w:val="auto"/>
          <w:highlight w:val="none"/>
        </w:rPr>
        <w:br w:type="textWrapping"/>
      </w:r>
      <w:r>
        <w:rPr>
          <w:rStyle w:val="27"/>
          <w:rFonts w:hint="eastAsia" w:ascii="宋体" w:hAnsi="宋体" w:cs="宋体"/>
          <w:color w:val="auto"/>
          <w:highlight w:val="none"/>
        </w:rPr>
        <w:t>4、是否收取履约保证金： 是。履约保证金百分比：5%。说明：中标人在签订政府采购合同前应向采购人缴纳合同总金额的5%作为履约保证金，该履约保证金于验收合格后自动转为质量保证金，待中标人完整履行合同，验收合格之日起1年后采购人无息退还。</w:t>
      </w:r>
    </w:p>
    <w:p>
      <w:pPr>
        <w:pStyle w:val="19"/>
        <w:widowControl/>
        <w:spacing w:line="440" w:lineRule="exact"/>
        <w:rPr>
          <w:rFonts w:ascii="宋体" w:hAnsi="宋体" w:cs="宋体"/>
          <w:color w:val="auto"/>
          <w:highlight w:val="none"/>
        </w:rPr>
      </w:pPr>
      <w:r>
        <w:rPr>
          <w:rStyle w:val="27"/>
          <w:rFonts w:hint="eastAsia" w:ascii="宋体" w:hAnsi="宋体" w:cs="宋体"/>
          <w:color w:val="auto"/>
          <w:highlight w:val="none"/>
        </w:rPr>
        <w:t>5、是否邀请投标人参与验收：否</w:t>
      </w:r>
      <w:r>
        <w:rPr>
          <w:rStyle w:val="27"/>
          <w:rFonts w:hint="eastAsia" w:ascii="宋体" w:hAnsi="宋体" w:cs="宋体"/>
          <w:color w:val="auto"/>
          <w:highlight w:val="none"/>
        </w:rPr>
        <w:br w:type="textWrapping"/>
      </w:r>
      <w:r>
        <w:rPr>
          <w:rStyle w:val="27"/>
          <w:rFonts w:hint="eastAsia" w:ascii="宋体" w:hAnsi="宋体" w:cs="宋体"/>
          <w:color w:val="auto"/>
          <w:highlight w:val="none"/>
        </w:rPr>
        <w:t>6、验收方式数据表格</w:t>
      </w:r>
    </w:p>
    <w:tbl>
      <w:tblPr>
        <w:tblStyle w:val="23"/>
        <w:tblW w:w="9264" w:type="dxa"/>
        <w:jc w:val="center"/>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7"/>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1667"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验收期次</w:t>
            </w:r>
          </w:p>
        </w:tc>
        <w:tc>
          <w:tcPr>
            <w:tcW w:w="7597"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667"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1</w:t>
            </w:r>
          </w:p>
        </w:tc>
        <w:tc>
          <w:tcPr>
            <w:tcW w:w="7597"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根据招标文件及合同</w:t>
            </w:r>
          </w:p>
        </w:tc>
      </w:tr>
    </w:tbl>
    <w:p>
      <w:pPr>
        <w:widowControl/>
        <w:numPr>
          <w:ilvl w:val="0"/>
          <w:numId w:val="6"/>
        </w:numPr>
        <w:spacing w:line="440" w:lineRule="exact"/>
        <w:jc w:val="left"/>
        <w:rPr>
          <w:rStyle w:val="27"/>
          <w:rFonts w:ascii="宋体" w:hAnsi="宋体" w:cs="宋体"/>
          <w:color w:val="auto"/>
          <w:kern w:val="0"/>
          <w:sz w:val="24"/>
          <w:highlight w:val="none"/>
        </w:rPr>
      </w:pPr>
      <w:r>
        <w:rPr>
          <w:rStyle w:val="27"/>
          <w:rFonts w:hint="eastAsia" w:ascii="宋体" w:hAnsi="宋体" w:cs="宋体"/>
          <w:color w:val="auto"/>
          <w:kern w:val="0"/>
          <w:sz w:val="24"/>
          <w:highlight w:val="none"/>
        </w:rPr>
        <w:t>支付方式数据表格</w:t>
      </w:r>
    </w:p>
    <w:tbl>
      <w:tblPr>
        <w:tblStyle w:val="23"/>
        <w:tblW w:w="9323" w:type="dxa"/>
        <w:jc w:val="center"/>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7"/>
        <w:gridCol w:w="1667"/>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blHeader/>
          <w:tblCellSpacing w:w="0" w:type="dxa"/>
          <w:jc w:val="center"/>
        </w:trPr>
        <w:tc>
          <w:tcPr>
            <w:tcW w:w="1667"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支付期次</w:t>
            </w:r>
          </w:p>
        </w:tc>
        <w:tc>
          <w:tcPr>
            <w:tcW w:w="1667" w:type="dxa"/>
            <w:noWrap w:val="0"/>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kern w:val="0"/>
                <w:sz w:val="24"/>
                <w:szCs w:val="24"/>
                <w:lang w:bidi="ar"/>
              </w:rPr>
              <w:t>支付</w:t>
            </w:r>
            <w:r>
              <w:rPr>
                <w:rFonts w:hint="eastAsia" w:ascii="宋体" w:hAnsi="宋体" w:cs="宋体"/>
                <w:kern w:val="0"/>
                <w:sz w:val="24"/>
                <w:szCs w:val="24"/>
                <w:lang w:val="en-US" w:eastAsia="zh-CN" w:bidi="ar"/>
              </w:rPr>
              <w:t>比例（%）</w:t>
            </w:r>
          </w:p>
        </w:tc>
        <w:tc>
          <w:tcPr>
            <w:tcW w:w="5989"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667"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1667" w:type="dxa"/>
            <w:noWrap w:val="0"/>
            <w:vAlign w:val="center"/>
          </w:tcPr>
          <w:p>
            <w:pPr>
              <w:pStyle w:val="11"/>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95</w:t>
            </w:r>
          </w:p>
        </w:tc>
        <w:tc>
          <w:tcPr>
            <w:tcW w:w="5989" w:type="dxa"/>
            <w:noWrap w:val="0"/>
            <w:vAlign w:val="center"/>
          </w:tcPr>
          <w:p>
            <w:pPr>
              <w:widowControl/>
              <w:ind w:right="88" w:rightChars="42"/>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项目完成后，经采购人按课程立项等级验收合格，按每门课程最终立项等级建设经费金额*课程门数（省级课程15万元/门）支付合同价的95%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667"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1667" w:type="dxa"/>
            <w:noWrap w:val="0"/>
            <w:vAlign w:val="center"/>
          </w:tcPr>
          <w:p>
            <w:pPr>
              <w:widowControl/>
              <w:spacing w:line="360" w:lineRule="auto"/>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5989" w:type="dxa"/>
            <w:noWrap w:val="0"/>
            <w:vAlign w:val="center"/>
          </w:tcPr>
          <w:p>
            <w:pPr>
              <w:widowControl/>
              <w:spacing w:line="360" w:lineRule="auto"/>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质保期后，采购人向中标人支付合同额剩余5%</w:t>
            </w:r>
          </w:p>
        </w:tc>
      </w:tr>
    </w:tbl>
    <w:p>
      <w:pPr>
        <w:pStyle w:val="35"/>
        <w:ind w:firstLine="0"/>
        <w:rPr>
          <w:rFonts w:ascii="宋体" w:hAnsi="宋体" w:eastAsia="宋体"/>
          <w:color w:val="auto"/>
          <w:highlight w:val="none"/>
        </w:rPr>
      </w:pPr>
    </w:p>
    <w:p>
      <w:pPr>
        <w:pStyle w:val="19"/>
        <w:widowControl/>
        <w:numPr>
          <w:ilvl w:val="0"/>
          <w:numId w:val="6"/>
        </w:numPr>
        <w:spacing w:line="400" w:lineRule="exact"/>
        <w:rPr>
          <w:rStyle w:val="27"/>
          <w:rFonts w:ascii="宋体" w:hAnsi="宋体" w:cs="宋体"/>
          <w:color w:val="auto"/>
          <w:highlight w:val="none"/>
        </w:rPr>
      </w:pPr>
      <w:r>
        <w:rPr>
          <w:rStyle w:val="27"/>
          <w:rFonts w:hint="eastAsia" w:ascii="宋体" w:hAnsi="宋体" w:cs="宋体"/>
          <w:color w:val="auto"/>
          <w:highlight w:val="none"/>
        </w:rPr>
        <w:t>其他要求：</w:t>
      </w:r>
    </w:p>
    <w:p>
      <w:pPr>
        <w:pStyle w:val="19"/>
        <w:widowControl/>
        <w:spacing w:line="400" w:lineRule="exact"/>
        <w:ind w:firstLine="480" w:firstLineChars="200"/>
        <w:rPr>
          <w:color w:val="auto"/>
          <w:highlight w:val="none"/>
        </w:rPr>
      </w:pPr>
      <w:r>
        <w:rPr>
          <w:rFonts w:hint="eastAsia" w:ascii="宋体" w:hAnsi="宋体" w:cs="宋体"/>
          <w:color w:val="auto"/>
          <w:highlight w:val="none"/>
        </w:rPr>
        <w:t>8.1. 本批招标项目为整体采购，投标人不得将合同包中的部分内容进行拆分投标或漏项投标，拆分投标或漏项投标无效。投标人必须列明所投项目的每一单项的单价、小计和总价，报价应以人民币作为货币单位。投标时不可提供二个或多个可选择的价格进行报价。</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cs="宋体"/>
          <w:color w:val="auto"/>
          <w:highlight w:val="none"/>
        </w:rPr>
        <w:t>8.2. 投标人应按照货物清单中的规格要求提供产品，投标人所提供产品的质量品质应符合行业标准，投标人应按招标技术规格提供产品。若招标文件中无相应规定，则该产品应符合相应的国家标准或行业标准。对投标人漏报或错报产品致使未能达到需求的功能和效果，因此造成的费用和后果由投标人自行负责。</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cs="宋体"/>
          <w:color w:val="auto"/>
          <w:highlight w:val="none"/>
        </w:rPr>
        <w:t>8.3. 投标人提供的设备及材料等，应保证这些设备及材料等手续的合法性，在交货、安装或验收时中标 供 应 商应提供所有设备及材料的全部合法证明材料(如：产品合格证、许可证、安全认证证书、检验报告、产地证明、装箱单以及技术参数说明等资料)。</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cs="宋体"/>
          <w:color w:val="auto"/>
          <w:highlight w:val="none"/>
        </w:rPr>
        <w:t>8.4. 总报价必须是货物送达招标人指 定地点、经招标人验收合格并交付使用所有可能发生的费用，包括生产、运输、包装、送货、税收、检验、售 后 服 务等费用。并在投标文件中提供详细的切实可行的系统建设技术方案以及招标文件要求提供的其它资料。</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cs="宋体"/>
          <w:color w:val="auto"/>
          <w:highlight w:val="none"/>
        </w:rPr>
        <w:t>8.5. 投标人应提供投标货物或投标货物的同类产品经国家质量监督检验部门检验合格的检验报告。</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cs="宋体"/>
          <w:color w:val="auto"/>
          <w:highlight w:val="none"/>
        </w:rPr>
        <w:t>8.6. 报价清单必须详细，包含货物品牌、详细规格、图片、单价等产品信息。否则由此所产生一切后果投标人承担。</w:t>
      </w:r>
    </w:p>
    <w:p>
      <w:pPr>
        <w:pStyle w:val="19"/>
        <w:spacing w:before="156" w:beforeLines="50" w:beforeAutospacing="0" w:after="0" w:afterAutospacing="0" w:line="360" w:lineRule="auto"/>
        <w:rPr>
          <w:rFonts w:hint="eastAsia"/>
        </w:rPr>
      </w:pPr>
      <w:r>
        <w:rPr>
          <w:rStyle w:val="27"/>
          <w:rFonts w:hint="eastAsia" w:ascii="宋体" w:hAnsi="宋体" w:cs="宋体"/>
          <w:color w:val="auto"/>
          <w:highlight w:val="none"/>
        </w:rPr>
        <w:t>9、</w:t>
      </w:r>
      <w:r>
        <w:rPr>
          <w:rStyle w:val="27"/>
          <w:rFonts w:hint="eastAsia"/>
          <w:shd w:val="clear" w:color="auto" w:fill="FFFFFF"/>
        </w:rPr>
        <w:t>质保期限及服务</w:t>
      </w:r>
    </w:p>
    <w:p>
      <w:pPr>
        <w:keepNext w:val="0"/>
        <w:keepLines w:val="0"/>
        <w:pageBreakBefore w:val="0"/>
        <w:kinsoku/>
        <w:wordWrap/>
        <w:topLinePunct w:val="0"/>
        <w:bidi w:val="0"/>
        <w:snapToGrid/>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1.售后服务期</w:t>
      </w:r>
    </w:p>
    <w:p>
      <w:pPr>
        <w:keepNext w:val="0"/>
        <w:keepLines w:val="0"/>
        <w:pageBreakBefore w:val="0"/>
        <w:kinsoku/>
        <w:wordWrap/>
        <w:topLinePunct w:val="0"/>
        <w:bidi w:val="0"/>
        <w:snapToGrid/>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自验收合格之日起，提供1年的售后服务期。</w:t>
      </w:r>
    </w:p>
    <w:p>
      <w:pPr>
        <w:pStyle w:val="70"/>
        <w:keepNext w:val="0"/>
        <w:keepLines w:val="0"/>
        <w:pageBreakBefore w:val="0"/>
        <w:kinsoku/>
        <w:wordWrap/>
        <w:topLinePunct w:val="0"/>
        <w:bidi w:val="0"/>
        <w:snapToGrid/>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2.售后服务内容</w:t>
      </w:r>
    </w:p>
    <w:p>
      <w:pPr>
        <w:keepNext w:val="0"/>
        <w:keepLines w:val="0"/>
        <w:pageBreakBefore w:val="0"/>
        <w:kinsoku/>
        <w:wordWrap/>
        <w:topLinePunct w:val="0"/>
        <w:bidi w:val="0"/>
        <w:snapToGrid/>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①供应商在服务期内应当为采购人提供7*24小时技术支持服务；</w:t>
      </w:r>
    </w:p>
    <w:p>
      <w:pPr>
        <w:keepNext w:val="0"/>
        <w:keepLines w:val="0"/>
        <w:pageBreakBefore w:val="0"/>
        <w:kinsoku/>
        <w:wordWrap/>
        <w:topLinePunct w:val="0"/>
        <w:bidi w:val="0"/>
        <w:snapToGrid/>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②电话咨询：供应商应当为用户提供技术援助电话号码，解答用户在使用中遇到的问题，及时为用户提出解决问题的建议；</w:t>
      </w:r>
    </w:p>
    <w:p>
      <w:pPr>
        <w:keepNext w:val="0"/>
        <w:keepLines w:val="0"/>
        <w:pageBreakBefore w:val="0"/>
        <w:kinsoku/>
        <w:wordWrap/>
        <w:topLinePunct w:val="0"/>
        <w:bidi w:val="0"/>
        <w:snapToGrid/>
        <w:spacing w:line="360" w:lineRule="auto"/>
        <w:ind w:firstLine="480" w:firstLineChars="200"/>
        <w:rPr>
          <w:rFonts w:hint="eastAsia"/>
          <w:color w:val="000000"/>
          <w:shd w:val="clear" w:color="auto" w:fill="FFFFFF"/>
        </w:rPr>
      </w:pPr>
      <w:r>
        <w:rPr>
          <w:rFonts w:hint="eastAsia" w:ascii="宋体" w:hAnsi="宋体" w:cs="宋体"/>
          <w:kern w:val="0"/>
          <w:sz w:val="24"/>
          <w:szCs w:val="24"/>
        </w:rPr>
        <w:t>③现场响应：用户遇到使用及技术问题，电话咨询不能解决的，供应商或厂家应在接到通知后立即响应并在5小时内解决问题，无法在5小时内解决的，应在24小时内派出专业人员进行技术支持。</w:t>
      </w:r>
    </w:p>
    <w:p>
      <w:pPr>
        <w:keepNext w:val="0"/>
        <w:keepLines w:val="0"/>
        <w:pageBreakBefore w:val="0"/>
        <w:kinsoku/>
        <w:wordWrap/>
        <w:topLinePunct w:val="0"/>
        <w:autoSpaceDE w:val="0"/>
        <w:autoSpaceDN w:val="0"/>
        <w:bidi w:val="0"/>
        <w:snapToGrid/>
        <w:spacing w:line="360" w:lineRule="auto"/>
        <w:ind w:firstLine="480" w:firstLineChars="200"/>
        <w:outlineLvl w:val="9"/>
        <w:rPr>
          <w:rFonts w:hint="eastAsia" w:ascii="宋体" w:hAnsi="宋体" w:eastAsia="宋体" w:cs="宋体"/>
          <w:kern w:val="0"/>
          <w:sz w:val="24"/>
          <w:szCs w:val="24"/>
        </w:rPr>
      </w:pPr>
      <w:bookmarkStart w:id="30" w:name="_Toc25422"/>
      <w:bookmarkStart w:id="31" w:name="_Toc9645"/>
      <w:bookmarkStart w:id="32" w:name="_Toc4233"/>
      <w:bookmarkStart w:id="33" w:name="_Toc8129"/>
      <w:bookmarkStart w:id="34" w:name="_Toc12349"/>
      <w:r>
        <w:rPr>
          <w:rFonts w:hint="eastAsia" w:ascii="宋体" w:hAnsi="宋体" w:eastAsia="宋体" w:cs="宋体"/>
          <w:kern w:val="0"/>
          <w:sz w:val="24"/>
          <w:szCs w:val="24"/>
        </w:rPr>
        <w:t>3.增值服务</w:t>
      </w:r>
      <w:bookmarkEnd w:id="30"/>
      <w:bookmarkEnd w:id="31"/>
      <w:bookmarkEnd w:id="32"/>
      <w:bookmarkEnd w:id="33"/>
      <w:bookmarkEnd w:id="34"/>
    </w:p>
    <w:p>
      <w:pPr>
        <w:keepNext w:val="0"/>
        <w:keepLines w:val="0"/>
        <w:pageBreakBefore w:val="0"/>
        <w:kinsoku/>
        <w:wordWrap/>
        <w:overflowPunct w:val="0"/>
        <w:topLinePunct w:val="0"/>
        <w:autoSpaceDE w:val="0"/>
        <w:autoSpaceDN w:val="0"/>
        <w:bidi w:val="0"/>
        <w:adjustRightInd w:val="0"/>
        <w:snapToGrid/>
        <w:spacing w:line="360" w:lineRule="auto"/>
        <w:ind w:firstLine="480" w:firstLineChars="20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①免费提供资源技术员为参与课程资源建设的教师在课件制作美化技巧的沟通交流培训，为今后教师自主制作课件提供支撑。</w:t>
      </w:r>
    </w:p>
    <w:p>
      <w:pPr>
        <w:pStyle w:val="19"/>
        <w:keepNext w:val="0"/>
        <w:keepLines w:val="0"/>
        <w:pageBreakBefore w:val="0"/>
        <w:widowControl/>
        <w:kinsoku/>
        <w:wordWrap/>
        <w:overflowPunct/>
        <w:topLinePunct w:val="0"/>
        <w:autoSpaceDN/>
        <w:bidi w:val="0"/>
        <w:adjustRightInd/>
        <w:snapToGrid/>
        <w:spacing w:line="440" w:lineRule="exact"/>
        <w:ind w:firstLine="480" w:firstLineChars="200"/>
        <w:textAlignment w:val="auto"/>
        <w:rPr>
          <w:color w:val="auto"/>
          <w:highlight w:val="none"/>
        </w:rPr>
      </w:pPr>
      <w:r>
        <w:rPr>
          <w:rFonts w:hint="eastAsia" w:ascii="宋体" w:hAnsi="宋体" w:eastAsia="宋体" w:cs="宋体"/>
          <w:sz w:val="24"/>
          <w:szCs w:val="24"/>
        </w:rPr>
        <w:t>②免费提供摄影工程师、动画工程师为教师在视频拍摄技巧、后期处理技能、动画制作和脚本编写方面培训，包括了视频拍摄注意事项、后期剪辑、合成、配音、片头、片尾等等方面，在技术培训和咨询指导多层次、多方位，保证学校专业教师能熟练掌握资源视频开发技能，提高教师们后续资源制作与开发的技能水平</w:t>
      </w:r>
      <w:r>
        <w:rPr>
          <w:rFonts w:hint="eastAsia" w:ascii="宋体" w:hAnsi="宋体" w:cs="宋体"/>
          <w:color w:val="auto"/>
          <w:highlight w:val="none"/>
        </w:rPr>
        <w:t>。</w:t>
      </w:r>
    </w:p>
    <w:p>
      <w:pPr>
        <w:pStyle w:val="19"/>
        <w:keepNext w:val="0"/>
        <w:keepLines w:val="0"/>
        <w:pageBreakBefore w:val="0"/>
        <w:widowControl/>
        <w:kinsoku/>
        <w:wordWrap/>
        <w:overflowPunct/>
        <w:topLinePunct w:val="0"/>
        <w:autoSpaceDE w:val="0"/>
        <w:autoSpaceDN/>
        <w:bidi w:val="0"/>
        <w:adjustRightInd/>
        <w:snapToGrid/>
        <w:spacing w:line="440" w:lineRule="exact"/>
        <w:ind w:firstLine="482" w:firstLineChars="200"/>
        <w:textAlignment w:val="auto"/>
        <w:rPr>
          <w:rFonts w:ascii="宋体" w:hAnsi="宋体" w:cs="宋体"/>
          <w:b/>
          <w:bCs/>
          <w:color w:val="auto"/>
          <w:highlight w:val="none"/>
        </w:rPr>
      </w:pPr>
      <w:r>
        <w:rPr>
          <w:rFonts w:hint="eastAsia" w:ascii="宋体" w:hAnsi="宋体" w:cs="宋体"/>
          <w:b/>
          <w:color w:val="auto"/>
          <w:highlight w:val="none"/>
          <w:shd w:val="clear" w:color="auto" w:fill="FFFFFF"/>
        </w:rPr>
        <w:t>10</w:t>
      </w:r>
      <w:r>
        <w:rPr>
          <w:rFonts w:hint="eastAsia" w:ascii="宋体" w:hAnsi="宋体" w:cs="宋体"/>
          <w:b/>
          <w:bCs/>
          <w:color w:val="auto"/>
          <w:highlight w:val="none"/>
        </w:rPr>
        <w:t>.违约责任</w:t>
      </w:r>
    </w:p>
    <w:p>
      <w:pPr>
        <w:pStyle w:val="19"/>
        <w:keepNext w:val="0"/>
        <w:keepLines w:val="0"/>
        <w:pageBreakBefore w:val="0"/>
        <w:widowControl/>
        <w:kinsoku/>
        <w:wordWrap/>
        <w:overflowPunct/>
        <w:topLinePunct w:val="0"/>
        <w:autoSpaceDE w:val="0"/>
        <w:autoSpaceDN/>
        <w:bidi w:val="0"/>
        <w:adjustRightInd/>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10.1因中标人原因造成采购合同无法按时签订，视为中标人违约，采购人有权没收其投标保证金；采购合同之后，中标人要求解除合同的，视为中标人违约，中标还需另行支付相应的赔偿。</w:t>
      </w:r>
    </w:p>
    <w:p>
      <w:pPr>
        <w:pStyle w:val="19"/>
        <w:keepNext w:val="0"/>
        <w:keepLines w:val="0"/>
        <w:pageBreakBefore w:val="0"/>
        <w:widowControl/>
        <w:kinsoku/>
        <w:wordWrap/>
        <w:overflowPunct/>
        <w:topLinePunct w:val="0"/>
        <w:autoSpaceDE w:val="0"/>
        <w:autoSpaceDN/>
        <w:bidi w:val="0"/>
        <w:adjustRightInd/>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10.2因中标人原因发生重大质量事故，除依约承担赔偿责任外，还将按有关质量管理办法规定执行。同时，采购人有权保留更换中标人的权利，并报相关行政主管部门处罚。</w:t>
      </w:r>
    </w:p>
    <w:p>
      <w:pPr>
        <w:pStyle w:val="19"/>
        <w:keepNext w:val="0"/>
        <w:keepLines w:val="0"/>
        <w:pageBreakBefore w:val="0"/>
        <w:widowControl/>
        <w:kinsoku/>
        <w:wordWrap/>
        <w:overflowPunct/>
        <w:topLinePunct w:val="0"/>
        <w:autoSpaceDE w:val="0"/>
        <w:autoSpaceDN/>
        <w:bidi w:val="0"/>
        <w:adjustRightInd/>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9"/>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10.4在明确违约责任后，中标人应在接到书面通知书起七天内支付违约金、赔偿金等。</w:t>
      </w:r>
    </w:p>
    <w:p>
      <w:pPr>
        <w:pStyle w:val="19"/>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9"/>
        <w:widowControl/>
        <w:autoSpaceDE w:val="0"/>
        <w:spacing w:line="400" w:lineRule="exact"/>
        <w:ind w:firstLine="480" w:firstLineChars="200"/>
        <w:rPr>
          <w:rFonts w:ascii="宋体" w:hAnsi="宋体" w:cs="宋体"/>
          <w:bCs/>
          <w:color w:val="auto"/>
          <w:highlight w:val="none"/>
          <w:shd w:val="clear" w:color="auto" w:fill="FFFFFF"/>
        </w:rPr>
      </w:pPr>
      <w:r>
        <w:rPr>
          <w:rFonts w:hint="eastAsia" w:ascii="宋体" w:hAnsi="宋体" w:cs="宋体"/>
          <w:color w:val="auto"/>
          <w:highlight w:val="none"/>
        </w:rPr>
        <w:t>10.6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9"/>
        <w:widowControl/>
        <w:spacing w:line="440" w:lineRule="exact"/>
        <w:rPr>
          <w:rFonts w:ascii="宋体" w:hAnsi="宋体" w:cs="宋体"/>
          <w:color w:val="auto"/>
          <w:highlight w:val="none"/>
        </w:rPr>
      </w:pPr>
    </w:p>
    <w:p>
      <w:pPr>
        <w:pStyle w:val="19"/>
        <w:widowControl/>
        <w:spacing w:line="440" w:lineRule="exact"/>
        <w:rPr>
          <w:rFonts w:ascii="宋体" w:hAnsi="宋体" w:cs="宋体"/>
          <w:color w:val="auto"/>
          <w:highlight w:val="none"/>
        </w:rPr>
      </w:pPr>
      <w:r>
        <w:rPr>
          <w:rFonts w:hint="eastAsia" w:ascii="宋体" w:hAnsi="宋体" w:cs="宋体"/>
          <w:color w:val="auto"/>
          <w:highlight w:val="none"/>
        </w:rPr>
        <w:t>四、其他事项</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1、除招标文件另有规定外，若出现有关法律、法规和规章有强制性规定但招标文件未列明的情形，则投标人应按照有关法律、法规和规章强制性规定执行。</w:t>
      </w:r>
    </w:p>
    <w:p>
      <w:pPr>
        <w:pStyle w:val="19"/>
        <w:widowControl/>
        <w:spacing w:line="440" w:lineRule="exact"/>
        <w:rPr>
          <w:rStyle w:val="27"/>
          <w:rFonts w:ascii="宋体" w:hAnsi="宋体" w:cs="宋体"/>
          <w:color w:val="auto"/>
          <w:highlight w:val="none"/>
        </w:rPr>
      </w:pPr>
      <w:r>
        <w:rPr>
          <w:rFonts w:hint="eastAsia" w:ascii="宋体" w:hAnsi="宋体" w:cs="宋体"/>
          <w:color w:val="auto"/>
          <w:highlight w:val="none"/>
        </w:rPr>
        <w:t>2、其他：</w:t>
      </w:r>
    </w:p>
    <w:p>
      <w:pPr>
        <w:pStyle w:val="19"/>
        <w:widowControl/>
        <w:spacing w:before="75" w:after="75"/>
        <w:ind w:firstLine="2249" w:firstLineChars="700"/>
        <w:rPr>
          <w:rFonts w:ascii="宋体" w:hAnsi="宋体" w:cs="宋体"/>
          <w:b/>
          <w:color w:val="auto"/>
          <w:sz w:val="32"/>
          <w:szCs w:val="32"/>
          <w:highlight w:val="none"/>
        </w:rPr>
      </w:pPr>
    </w:p>
    <w:p>
      <w:pPr>
        <w:pStyle w:val="19"/>
        <w:widowControl/>
        <w:spacing w:before="75" w:after="75"/>
        <w:ind w:firstLine="2249" w:firstLineChars="700"/>
        <w:rPr>
          <w:rFonts w:ascii="宋体" w:hAnsi="宋体" w:cs="宋体"/>
          <w:b/>
          <w:color w:val="auto"/>
          <w:sz w:val="32"/>
          <w:szCs w:val="32"/>
          <w:highlight w:val="none"/>
        </w:rPr>
      </w:pPr>
    </w:p>
    <w:p>
      <w:pPr>
        <w:pStyle w:val="19"/>
        <w:widowControl/>
        <w:spacing w:before="75" w:after="75"/>
        <w:ind w:firstLine="2249" w:firstLineChars="700"/>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19"/>
        <w:widowControl/>
        <w:spacing w:before="75" w:after="75"/>
        <w:ind w:firstLine="2249" w:firstLineChars="700"/>
        <w:rPr>
          <w:rFonts w:ascii="宋体" w:hAnsi="宋体" w:cs="宋体"/>
          <w:color w:val="auto"/>
          <w:highlight w:val="none"/>
        </w:rPr>
      </w:pPr>
      <w:r>
        <w:rPr>
          <w:rFonts w:hint="eastAsia" w:ascii="宋体" w:hAnsi="宋体" w:cs="宋体"/>
          <w:b/>
          <w:color w:val="auto"/>
          <w:sz w:val="32"/>
          <w:szCs w:val="32"/>
          <w:highlight w:val="none"/>
        </w:rPr>
        <w:t xml:space="preserve">第六章  </w:t>
      </w:r>
      <w:r>
        <w:rPr>
          <w:rStyle w:val="27"/>
          <w:rFonts w:hint="eastAsia" w:ascii="宋体" w:hAnsi="宋体" w:cs="宋体"/>
          <w:color w:val="auto"/>
          <w:sz w:val="31"/>
          <w:szCs w:val="31"/>
          <w:highlight w:val="none"/>
        </w:rPr>
        <w:t>合同（参考文本）</w:t>
      </w:r>
    </w:p>
    <w:p>
      <w:pPr>
        <w:pStyle w:val="19"/>
        <w:widowControl/>
        <w:spacing w:before="75" w:after="75"/>
        <w:jc w:val="center"/>
        <w:rPr>
          <w:rFonts w:ascii="宋体" w:hAnsi="宋体" w:cs="宋体"/>
          <w:color w:val="auto"/>
          <w:highlight w:val="none"/>
        </w:rPr>
      </w:pPr>
      <w:r>
        <w:rPr>
          <w:rStyle w:val="27"/>
          <w:rFonts w:hint="eastAsia" w:ascii="宋体" w:hAnsi="宋体" w:cs="宋体"/>
          <w:color w:val="auto"/>
          <w:highlight w:val="none"/>
        </w:rPr>
        <w:t>编制说明</w:t>
      </w:r>
    </w:p>
    <w:p>
      <w:pPr>
        <w:pStyle w:val="19"/>
        <w:widowControl/>
        <w:spacing w:line="440" w:lineRule="exact"/>
        <w:rPr>
          <w:rFonts w:ascii="宋体" w:hAnsi="宋体" w:cs="宋体"/>
          <w:color w:val="auto"/>
          <w:highlight w:val="none"/>
        </w:rPr>
      </w:pPr>
      <w:r>
        <w:rPr>
          <w:rStyle w:val="27"/>
          <w:rFonts w:hint="eastAsia" w:ascii="宋体" w:hAnsi="宋体" w:cs="宋体"/>
          <w:color w:val="auto"/>
          <w:highlight w:val="none"/>
        </w:rPr>
        <w:t>1、签订合同应遵守政府采购法、民法典。</w:t>
      </w:r>
    </w:p>
    <w:p>
      <w:pPr>
        <w:pStyle w:val="19"/>
        <w:widowControl/>
        <w:spacing w:line="440" w:lineRule="exact"/>
        <w:rPr>
          <w:rFonts w:ascii="宋体" w:hAnsi="宋体" w:cs="宋体"/>
          <w:color w:val="auto"/>
          <w:highlight w:val="none"/>
        </w:rPr>
      </w:pPr>
      <w:r>
        <w:rPr>
          <w:rStyle w:val="27"/>
          <w:rFonts w:hint="eastAsia" w:ascii="宋体" w:hAnsi="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9"/>
        <w:widowControl/>
        <w:spacing w:line="440" w:lineRule="exact"/>
        <w:rPr>
          <w:rFonts w:ascii="宋体" w:hAnsi="宋体" w:cs="宋体"/>
          <w:color w:val="auto"/>
          <w:highlight w:val="none"/>
        </w:rPr>
      </w:pPr>
      <w:r>
        <w:rPr>
          <w:rStyle w:val="27"/>
          <w:rFonts w:hint="eastAsia" w:ascii="宋体" w:hAnsi="宋体" w:cs="宋体"/>
          <w:color w:val="auto"/>
          <w:highlight w:val="none"/>
        </w:rPr>
        <w:t>3、国家有关部门对若干合同有规范文本的，可使用相应合同文本。</w:t>
      </w:r>
    </w:p>
    <w:p>
      <w:pPr>
        <w:spacing w:line="440" w:lineRule="exact"/>
        <w:rPr>
          <w:rFonts w:ascii="宋体" w:hAnsi="宋体" w:cs="宋体"/>
          <w:color w:val="auto"/>
          <w:sz w:val="24"/>
          <w:highlight w:val="none"/>
        </w:rPr>
      </w:pPr>
      <w:r>
        <w:rPr>
          <w:rFonts w:hint="eastAsia" w:ascii="宋体" w:hAnsi="宋体" w:cs="宋体"/>
          <w:color w:val="auto"/>
          <w:sz w:val="24"/>
          <w:highlight w:val="none"/>
        </w:rPr>
        <w:t>甲方：</w:t>
      </w:r>
    </w:p>
    <w:p>
      <w:pPr>
        <w:pStyle w:val="19"/>
        <w:widowControl/>
        <w:spacing w:line="440" w:lineRule="exact"/>
        <w:rPr>
          <w:rFonts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（中标人全称）        </w:t>
      </w:r>
    </w:p>
    <w:p>
      <w:pPr>
        <w:pStyle w:val="19"/>
        <w:widowControl/>
        <w:spacing w:line="440" w:lineRule="exact"/>
        <w:rPr>
          <w:rFonts w:ascii="宋体" w:hAnsi="宋体" w:cs="宋体"/>
          <w:color w:val="auto"/>
          <w:highlight w:val="none"/>
          <w:u w:val="single"/>
        </w:rPr>
      </w:pPr>
    </w:p>
    <w:p>
      <w:pPr>
        <w:pStyle w:val="19"/>
        <w:widowControl/>
        <w:spacing w:line="440" w:lineRule="exact"/>
        <w:rPr>
          <w:rFonts w:ascii="宋体" w:hAnsi="宋体" w:cs="宋体"/>
          <w:color w:val="auto"/>
          <w:highlight w:val="none"/>
        </w:rPr>
      </w:pPr>
      <w:r>
        <w:rPr>
          <w:rFonts w:hint="eastAsia" w:ascii="宋体" w:hAnsi="宋体" w:cs="宋体"/>
          <w:color w:val="auto"/>
          <w:highlight w:val="none"/>
        </w:rPr>
        <w:t>  根据招标编号为</w:t>
      </w:r>
      <w:r>
        <w:rPr>
          <w:rFonts w:hint="eastAsia" w:ascii="宋体" w:hAnsi="宋体" w:cs="宋体"/>
          <w:color w:val="auto"/>
          <w:highlight w:val="none"/>
          <w:u w:val="single"/>
        </w:rPr>
        <w:t>  </w:t>
      </w:r>
      <w:r>
        <w:rPr>
          <w:rFonts w:hint="eastAsia" w:ascii="宋体" w:hAnsi="宋体" w:cs="宋体"/>
          <w:color w:val="auto"/>
          <w:highlight w:val="none"/>
        </w:rPr>
        <w:t>的（以下简称：“本项目”）的招标结果，乙方为中标人。现经甲乙双方友好协商，就以下事项达成一致并签订本合同：</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1、下列合同文件是构成本合同不可分割的部分：</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1.1合同条款；</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1.2招标文件、乙方的投标文件；</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2、合同标的</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3、合同总金额</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4、合同标的交付时间、地点和条件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sz w:val="24"/>
          <w:highlight w:val="none"/>
        </w:rPr>
        <w:t>交货时间：</w:t>
      </w:r>
      <w:r>
        <w:rPr>
          <w:rFonts w:hint="eastAsia" w:ascii="宋体" w:hAnsi="宋体" w:cs="宋体"/>
          <w:color w:val="auto"/>
          <w:highlight w:val="none"/>
        </w:rPr>
        <w:t>；</w:t>
      </w:r>
    </w:p>
    <w:p>
      <w:pPr>
        <w:spacing w:line="400" w:lineRule="exact"/>
        <w:ind w:firstLine="420" w:firstLineChars="200"/>
        <w:rPr>
          <w:rFonts w:ascii="宋体" w:hAnsi="宋体" w:cs="宋体"/>
          <w:color w:val="auto"/>
          <w:sz w:val="24"/>
          <w:highlight w:val="none"/>
        </w:rPr>
      </w:pPr>
      <w:r>
        <w:rPr>
          <w:rFonts w:hint="eastAsia" w:ascii="宋体" w:hAnsi="宋体" w:cs="宋体"/>
          <w:color w:val="auto"/>
          <w:highlight w:val="none"/>
        </w:rPr>
        <w:t>4.2</w:t>
      </w:r>
      <w:r>
        <w:rPr>
          <w:rFonts w:hint="eastAsia" w:ascii="宋体" w:hAnsi="宋体" w:cs="宋体"/>
          <w:color w:val="auto"/>
          <w:sz w:val="24"/>
          <w:highlight w:val="none"/>
        </w:rPr>
        <w:t>交付地点</w:t>
      </w:r>
      <w:r>
        <w:rPr>
          <w:rFonts w:hint="eastAsia" w:ascii="宋体" w:hAnsi="宋体" w:cs="宋体"/>
          <w:color w:val="auto"/>
          <w:highlight w:val="none"/>
        </w:rPr>
        <w:t>：</w:t>
      </w:r>
      <w:r>
        <w:rPr>
          <w:rFonts w:hint="eastAsia" w:ascii="宋体" w:hAnsi="宋体" w:cs="宋体"/>
          <w:color w:val="auto"/>
          <w:sz w:val="24"/>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sz w:val="24"/>
          <w:highlight w:val="none"/>
        </w:rPr>
        <w:t>交付条件</w:t>
      </w:r>
      <w:r>
        <w:rPr>
          <w:rFonts w:hint="eastAsia" w:ascii="宋体" w:hAnsi="宋体" w:cs="宋体"/>
          <w:color w:val="auto"/>
          <w:highlight w:val="none"/>
        </w:rPr>
        <w:t>：</w:t>
      </w:r>
      <w:r>
        <w:rPr>
          <w:rFonts w:hint="eastAsia" w:ascii="宋体" w:hAnsi="宋体" w:cs="宋体"/>
          <w:color w:val="auto"/>
          <w:sz w:val="24"/>
          <w:highlight w:val="none"/>
          <w:u w:val="single"/>
        </w:rPr>
        <w:t xml:space="preserve">严格按照招标文件要求交付            </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5、合同标的应符合招标文件、乙方投标文件的规定或约定，具体如下：</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9"/>
        <w:widowControl/>
        <w:spacing w:line="440" w:lineRule="exact"/>
        <w:ind w:firstLine="480"/>
        <w:rPr>
          <w:rFonts w:ascii="宋体" w:hAnsi="宋体" w:cs="宋体"/>
          <w:b/>
          <w:bCs/>
          <w:color w:val="auto"/>
          <w:highlight w:val="none"/>
        </w:rPr>
      </w:pPr>
      <w:r>
        <w:rPr>
          <w:rFonts w:hint="eastAsia" w:ascii="宋体" w:hAnsi="宋体" w:cs="宋体"/>
          <w:color w:val="auto"/>
          <w:highlight w:val="none"/>
        </w:rPr>
        <w:t>6、验收</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本项目是否邀请其他投标人参与验收：</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7、合同款项的支付应按照招标文件的规定进行，具体如下：</w:t>
      </w:r>
    </w:p>
    <w:tbl>
      <w:tblPr>
        <w:tblStyle w:val="23"/>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支付期次说明（</w:t>
            </w:r>
            <w:r>
              <w:rPr>
                <w:rFonts w:hint="eastAsia" w:ascii="宋体" w:hAnsi="宋体" w:cs="宋体"/>
                <w:color w:val="auto"/>
                <w:sz w:val="24"/>
                <w:highlight w:val="none"/>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p>
        </w:tc>
      </w:tr>
    </w:tbl>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8、履约保证金</w:t>
      </w:r>
    </w:p>
    <w:p>
      <w:pPr>
        <w:spacing w:line="400" w:lineRule="exact"/>
        <w:ind w:firstLine="480" w:firstLineChars="200"/>
        <w:rPr>
          <w:rStyle w:val="27"/>
          <w:rFonts w:ascii="宋体" w:hAnsi="宋体" w:cs="宋体"/>
          <w:b w:val="0"/>
          <w:bCs/>
          <w:color w:val="auto"/>
          <w:sz w:val="24"/>
          <w:highlight w:val="none"/>
        </w:rPr>
      </w:pPr>
      <w:r>
        <w:rPr>
          <w:rFonts w:hint="eastAsia" w:ascii="宋体" w:hAnsi="宋体" w:cs="宋体"/>
          <w:color w:val="auto"/>
          <w:sz w:val="24"/>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9、合同有效期</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9"/>
        <w:widowControl/>
        <w:numPr>
          <w:ilvl w:val="0"/>
          <w:numId w:val="7"/>
        </w:numPr>
        <w:spacing w:line="440" w:lineRule="exact"/>
        <w:ind w:firstLine="480"/>
        <w:rPr>
          <w:rFonts w:ascii="宋体" w:hAnsi="宋体" w:cs="宋体"/>
          <w:color w:val="auto"/>
          <w:highlight w:val="none"/>
        </w:rPr>
      </w:pPr>
      <w:r>
        <w:rPr>
          <w:rFonts w:hint="eastAsia" w:ascii="宋体" w:hAnsi="宋体" w:cs="宋体"/>
          <w:color w:val="auto"/>
          <w:highlight w:val="none"/>
        </w:rPr>
        <w:t>违约责任</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11、知识产权</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12、解决争议的方法</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12.1甲、乙双方协商解决。</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12.2若协商解决不成，则通过下列途径之一解决：</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13、不可抗力</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14、合同条款</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15、其他约定</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15.1合同文件与本合同具有同等法律效力。</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15.2本合同未尽事宜，双方可另行补充。</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15.3合同生效：自签订之日起生效。</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9"/>
        <w:widowControl/>
        <w:spacing w:line="440" w:lineRule="exact"/>
        <w:ind w:firstLine="480"/>
        <w:rPr>
          <w:rFonts w:ascii="宋体" w:hAnsi="宋体" w:cs="宋体"/>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9"/>
        <w:widowControl/>
        <w:spacing w:line="440" w:lineRule="exact"/>
        <w:jc w:val="center"/>
        <w:rPr>
          <w:rFonts w:ascii="宋体" w:hAnsi="宋体" w:cs="宋体"/>
          <w:color w:val="auto"/>
          <w:highlight w:val="none"/>
        </w:rPr>
      </w:pPr>
      <w:r>
        <w:rPr>
          <w:rFonts w:hint="eastAsia" w:ascii="宋体" w:hAnsi="宋体" w:cs="宋体"/>
          <w:color w:val="auto"/>
          <w:highlight w:val="none"/>
        </w:rPr>
        <w:t>（以下无正文）</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甲方：                乙方：</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住所：                住所：</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单位负责人：              单位负责人：</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委托代理人：             委托代理人：</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联系方法：              联系方法：</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开户银行：              开户银行：</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账号：                  账号：</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9"/>
        <w:widowControl/>
        <w:spacing w:line="440" w:lineRule="exact"/>
        <w:rPr>
          <w:rFonts w:ascii="宋体" w:hAnsi="宋体" w:cs="宋体"/>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ind w:left="315"/>
        <w:rPr>
          <w:rFonts w:ascii="宋体" w:hAnsi="宋体" w:cs="宋体"/>
          <w:color w:val="auto"/>
          <w:sz w:val="24"/>
          <w:highlight w:val="none"/>
        </w:rPr>
      </w:pPr>
    </w:p>
    <w:p>
      <w:pPr>
        <w:spacing w:line="440" w:lineRule="exact"/>
        <w:ind w:left="315"/>
        <w:jc w:val="center"/>
        <w:rPr>
          <w:rFonts w:ascii="宋体" w:hAnsi="宋体" w:cs="宋体"/>
          <w:b/>
          <w:bCs/>
          <w:color w:val="auto"/>
          <w:kern w:val="0"/>
          <w:sz w:val="24"/>
          <w:highlight w:val="none"/>
        </w:rPr>
      </w:pPr>
    </w:p>
    <w:p>
      <w:pPr>
        <w:spacing w:line="440" w:lineRule="exact"/>
        <w:ind w:left="315"/>
        <w:jc w:val="center"/>
        <w:rPr>
          <w:rFonts w:ascii="宋体" w:hAnsi="宋体" w:cs="宋体"/>
          <w:b/>
          <w:bCs/>
          <w:color w:val="auto"/>
          <w:kern w:val="0"/>
          <w:sz w:val="24"/>
          <w:highlight w:val="none"/>
        </w:rPr>
      </w:pPr>
    </w:p>
    <w:p>
      <w:pPr>
        <w:pStyle w:val="22"/>
        <w:ind w:left="420" w:firstLine="482"/>
        <w:rPr>
          <w:rFonts w:ascii="宋体" w:hAnsi="宋体" w:cs="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br w:type="page"/>
      </w:r>
    </w:p>
    <w:p>
      <w:pPr>
        <w:pStyle w:val="22"/>
        <w:ind w:left="420" w:firstLine="622"/>
        <w:jc w:val="center"/>
        <w:rPr>
          <w:rFonts w:ascii="宋体" w:hAnsi="宋体" w:cs="宋体"/>
          <w:color w:val="auto"/>
          <w:highlight w:val="none"/>
        </w:rPr>
      </w:pPr>
      <w:r>
        <w:rPr>
          <w:rStyle w:val="27"/>
          <w:rFonts w:hint="eastAsia" w:ascii="宋体" w:hAnsi="宋体" w:cs="宋体"/>
          <w:color w:val="auto"/>
          <w:sz w:val="31"/>
          <w:szCs w:val="31"/>
          <w:highlight w:val="none"/>
        </w:rPr>
        <w:t>第七章   投标文件格式</w:t>
      </w:r>
    </w:p>
    <w:p>
      <w:pPr>
        <w:pStyle w:val="19"/>
        <w:widowControl/>
        <w:spacing w:after="150"/>
        <w:jc w:val="center"/>
        <w:rPr>
          <w:rFonts w:ascii="宋体" w:hAnsi="宋体" w:cs="宋体"/>
          <w:color w:val="auto"/>
          <w:highlight w:val="none"/>
        </w:rPr>
      </w:pPr>
      <w:r>
        <w:rPr>
          <w:rStyle w:val="27"/>
          <w:rFonts w:hint="eastAsia" w:ascii="宋体" w:hAnsi="宋体" w:cs="宋体"/>
          <w:color w:val="auto"/>
          <w:highlight w:val="none"/>
        </w:rPr>
        <w:t>编制说明</w:t>
      </w:r>
    </w:p>
    <w:p>
      <w:pPr>
        <w:pStyle w:val="19"/>
        <w:widowControl/>
        <w:spacing w:after="150"/>
        <w:rPr>
          <w:rFonts w:ascii="宋体" w:hAnsi="宋体" w:cs="宋体"/>
          <w:color w:val="auto"/>
          <w:highlight w:val="none"/>
        </w:rPr>
      </w:pPr>
      <w:r>
        <w:rPr>
          <w:rFonts w:hint="eastAsia" w:ascii="宋体" w:hAnsi="宋体" w:cs="宋体"/>
          <w:color w:val="auto"/>
          <w:highlight w:val="none"/>
        </w:rPr>
        <w:t> 1、除招标文件另有规定外，本章中：</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1.1涉及投标人的</w:t>
      </w:r>
      <w:r>
        <w:rPr>
          <w:rStyle w:val="27"/>
          <w:rFonts w:hint="eastAsia" w:ascii="宋体" w:hAnsi="宋体" w:cs="宋体"/>
          <w:color w:val="auto"/>
          <w:highlight w:val="none"/>
        </w:rPr>
        <w:t>“全称”</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投标人的全称</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牵头方的全称</w:t>
      </w:r>
      <w:r>
        <w:rPr>
          <w:rFonts w:hint="eastAsia" w:ascii="宋体" w:hAnsi="宋体" w:cs="宋体"/>
          <w:color w:val="auto"/>
          <w:highlight w:val="none"/>
        </w:rPr>
        <w:t>并加注</w:t>
      </w:r>
      <w:r>
        <w:rPr>
          <w:rStyle w:val="27"/>
          <w:rFonts w:hint="eastAsia" w:ascii="宋体" w:hAnsi="宋体" w:cs="宋体"/>
          <w:color w:val="auto"/>
          <w:highlight w:val="none"/>
        </w:rPr>
        <w:t>（联合体牵头方）</w:t>
      </w:r>
      <w:r>
        <w:rPr>
          <w:rFonts w:hint="eastAsia" w:ascii="宋体" w:hAnsi="宋体" w:cs="宋体"/>
          <w:color w:val="auto"/>
          <w:highlight w:val="none"/>
        </w:rPr>
        <w:t>，即应表述为：</w:t>
      </w:r>
      <w:r>
        <w:rPr>
          <w:rStyle w:val="27"/>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1.2涉及投标人</w:t>
      </w:r>
      <w:r>
        <w:rPr>
          <w:rStyle w:val="27"/>
          <w:rFonts w:hint="eastAsia" w:ascii="宋体" w:hAnsi="宋体" w:cs="宋体"/>
          <w:color w:val="auto"/>
          <w:highlight w:val="none"/>
        </w:rPr>
        <w:t>“加盖单位公章”</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7"/>
          <w:rFonts w:hint="eastAsia" w:ascii="宋体" w:hAnsi="宋体" w:cs="宋体"/>
          <w:color w:val="auto"/>
          <w:highlight w:val="none"/>
        </w:rPr>
        <w:t>加盖投标人的单位公章</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7"/>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1.3涉及</w:t>
      </w:r>
      <w:r>
        <w:rPr>
          <w:rStyle w:val="27"/>
          <w:rFonts w:hint="eastAsia" w:ascii="宋体" w:hAnsi="宋体" w:cs="宋体"/>
          <w:color w:val="auto"/>
          <w:highlight w:val="none"/>
        </w:rPr>
        <w:t>“投标人代表签字”</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（1）不接受联合体投标的，指由</w:t>
      </w:r>
      <w:r>
        <w:rPr>
          <w:rStyle w:val="27"/>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（2）接受联合体投标且投标人为联合体的，指由</w:t>
      </w:r>
      <w:r>
        <w:rPr>
          <w:rStyle w:val="27"/>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1.4</w:t>
      </w:r>
      <w:r>
        <w:rPr>
          <w:rStyle w:val="27"/>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1.5</w:t>
      </w:r>
      <w:r>
        <w:rPr>
          <w:rStyle w:val="27"/>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2、除招标文件另有规定外，本章中</w:t>
      </w:r>
      <w:r>
        <w:rPr>
          <w:rStyle w:val="27"/>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2.1投标人应按照招标文件第四章第1.3条第（2）款规定及本章规定进行编制，如有必要，可增加附页，附页作为资格及资信文件的组成部分。</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2.2接受联合体投标且投标人为联合体的，联合体中的各方均应按照本章第2.1条规定提交相应的全部资料。</w:t>
      </w:r>
    </w:p>
    <w:p>
      <w:pPr>
        <w:pStyle w:val="19"/>
        <w:widowControl/>
        <w:spacing w:after="150"/>
        <w:ind w:firstLine="480"/>
        <w:rPr>
          <w:rFonts w:ascii="宋体" w:hAnsi="宋体" w:cs="宋体"/>
          <w:color w:val="auto"/>
          <w:highlight w:val="none"/>
        </w:rPr>
      </w:pPr>
      <w:r>
        <w:rPr>
          <w:rFonts w:hint="eastAsia" w:ascii="宋体" w:hAnsi="宋体" w:cs="宋体"/>
          <w:color w:val="auto"/>
          <w:highlight w:val="none"/>
        </w:rPr>
        <w:t>3、投标人对投标文件的索引应编制页码。</w:t>
      </w:r>
    </w:p>
    <w:p>
      <w:pPr>
        <w:widowControl/>
        <w:spacing w:before="100" w:beforeAutospacing="1" w:after="100" w:afterAutospacing="1"/>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4、本章提供格式仅供参考，投标人应根据自身实际情况制作投标文件。</w:t>
      </w:r>
    </w:p>
    <w:p>
      <w:pPr>
        <w:widowControl/>
        <w:spacing w:before="75" w:after="75"/>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rPr>
          <w:rFonts w:ascii="宋体" w:hAnsi="宋体" w:cs="宋体"/>
          <w:b/>
          <w:bCs/>
          <w:color w:val="auto"/>
          <w:kern w:val="0"/>
          <w:sz w:val="29"/>
          <w:highlight w:val="none"/>
        </w:rPr>
      </w:pPr>
      <w:r>
        <w:rPr>
          <w:rFonts w:hint="eastAsia" w:ascii="宋体" w:hAnsi="宋体" w:cs="宋体"/>
          <w:b/>
          <w:bCs/>
          <w:color w:val="auto"/>
          <w:kern w:val="0"/>
          <w:sz w:val="29"/>
          <w:highlight w:val="none"/>
        </w:rPr>
        <w:br w:type="page"/>
      </w:r>
    </w:p>
    <w:p>
      <w:pPr>
        <w:widowControl/>
        <w:spacing w:before="75" w:after="75"/>
        <w:ind w:firstLine="480"/>
        <w:jc w:val="left"/>
        <w:rPr>
          <w:rFonts w:ascii="宋体" w:hAnsi="宋体" w:cs="宋体"/>
          <w:color w:val="auto"/>
          <w:kern w:val="0"/>
          <w:sz w:val="24"/>
          <w:highlight w:val="none"/>
        </w:rPr>
      </w:pPr>
      <w:r>
        <w:rPr>
          <w:rFonts w:hint="eastAsia" w:ascii="宋体" w:hAnsi="宋体" w:cs="宋体"/>
          <w:b/>
          <w:bCs/>
          <w:color w:val="auto"/>
          <w:kern w:val="0"/>
          <w:sz w:val="29"/>
          <w:highlight w:val="none"/>
        </w:rPr>
        <w:t>封面格式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36"/>
          <w:szCs w:val="36"/>
          <w:highlight w:val="none"/>
        </w:rPr>
        <w:t> </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（资格及资信证明部分）</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2"/>
        <w:ind w:left="420" w:firstLine="480"/>
        <w:rPr>
          <w:color w:val="auto"/>
          <w:highlight w:val="none"/>
        </w:rPr>
      </w:pPr>
    </w:p>
    <w:p>
      <w:pPr>
        <w:widowControl/>
        <w:spacing w:before="75" w:after="75"/>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br w:type="textWrapping"/>
      </w:r>
      <w:r>
        <w:rPr>
          <w:rFonts w:hint="eastAsia" w:ascii="宋体" w:hAnsi="宋体" w:cs="宋体"/>
          <w:b/>
          <w:bCs/>
          <w:color w:val="auto"/>
          <w:kern w:val="0"/>
          <w:sz w:val="30"/>
          <w:szCs w:val="30"/>
          <w:highlight w:val="none"/>
        </w:rPr>
        <w:t>索 引</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一、投标函</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二、投标人的资格及资信证明文件</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三、投标保证金</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资格及资信证明部分中不得出现报价部分的全部或部分的投标报价信息（或组成资料），否则</w:t>
      </w:r>
      <w:r>
        <w:rPr>
          <w:rFonts w:hint="eastAsia" w:ascii="宋体" w:hAnsi="宋体" w:cs="宋体"/>
          <w:b/>
          <w:bCs/>
          <w:color w:val="auto"/>
          <w:kern w:val="0"/>
          <w:szCs w:val="21"/>
          <w:highlight w:val="none"/>
        </w:rPr>
        <w:t>资格审查不合格</w:t>
      </w:r>
      <w:r>
        <w:rPr>
          <w:rFonts w:hint="eastAsia" w:ascii="宋体" w:hAnsi="宋体" w:cs="宋体"/>
          <w:color w:val="auto"/>
          <w:kern w:val="0"/>
          <w:szCs w:val="21"/>
          <w:highlight w:val="none"/>
        </w:rPr>
        <w:t>。（联合体协议及分包意向协议中的比例规定，不适用本条款）</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一、投标函</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w:t>
      </w:r>
      <w:r>
        <w:rPr>
          <w:rFonts w:hint="eastAsia" w:ascii="宋体" w:hAnsi="宋体" w:cs="宋体"/>
          <w:color w:val="auto"/>
          <w:kern w:val="0"/>
          <w:sz w:val="24"/>
          <w:highlight w:val="none"/>
        </w:rPr>
        <w:t>          </w:t>
      </w:r>
    </w:p>
    <w:p>
      <w:pPr>
        <w:widowControl/>
        <w:spacing w:before="100" w:beforeAutospacing="1" w:after="100" w:afterAutospacing="1"/>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兹收到贵单位关于（填写“项目名称”）项目（项目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（1）资格及资信证明部分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（2）报价部分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③招标文件规定的价格扣除证明材料（若有）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④招标文件规定的加分证明材料（若有）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（3）技术商务部分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①标的说明一览表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②技术和服务要求响应表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③商务条件响应表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④投标人提交的其他资料（若有）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根据本函，本投标人代表宣布我方保证遵守招标文件的全部规定，同时：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确认：</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Cs w:val="21"/>
          <w:highlight w:val="none"/>
        </w:rPr>
        <w:t>所投采购包</w:t>
      </w:r>
      <w:r>
        <w:rPr>
          <w:rFonts w:hint="eastAsia" w:ascii="宋体" w:hAnsi="宋体" w:cs="宋体"/>
          <w:color w:val="auto"/>
          <w:kern w:val="0"/>
          <w:sz w:val="24"/>
          <w:highlight w:val="none"/>
        </w:rPr>
        <w:t>的投标报价详见“开标一览表”及“投标分项报价表”。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b/>
          <w:bCs/>
          <w:color w:val="auto"/>
          <w:kern w:val="0"/>
          <w:sz w:val="24"/>
          <w:highlight w:val="none"/>
        </w:rPr>
        <w:t>承诺及声明：</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2.1我方具备招标文件第一章载明的“投标人的资格要求”且符合招标文件第三章载明的“二、投标人”之规定，否则</w:t>
      </w:r>
      <w:r>
        <w:rPr>
          <w:rFonts w:hint="eastAsia" w:ascii="宋体" w:hAnsi="宋体" w:cs="宋体"/>
          <w:b/>
          <w:bCs/>
          <w:color w:val="auto"/>
          <w:kern w:val="0"/>
          <w:sz w:val="24"/>
          <w:highlight w:val="none"/>
        </w:rPr>
        <w:t>投标无效。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2.3我方提供的标的价格不高于同期市场价格，否则产生不利后果由我方承担责任。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2.4投标保证金：若出现招标文件第三章规定的不予退还情形，同意贵单位不予退还。</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2.5投标有效期：按照招标文件第三章规定执行，并在招标文件第二章载明的期限内保持有效。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2.6若中标，将按照招标文件、我方投标文件及政府采购合同履行责任和义务。</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2.9除招标文件另有规定外，对于贵单位按照下述联络方式发出的任何信息或通知，均视为我方已收悉前述信息或通知的全部内容：</w:t>
      </w:r>
      <w:r>
        <w:rPr>
          <w:rFonts w:hint="eastAsia" w:ascii="宋体" w:hAnsi="宋体" w:cs="宋体"/>
          <w:color w:val="auto"/>
          <w:kern w:val="0"/>
          <w:szCs w:val="21"/>
          <w:highlight w:val="none"/>
        </w:rPr>
        <w:br w:type="textWrapping"/>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通信地址：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邮编：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联系方法：（包括但不限于：联系人、联系电话、手机、传真、电子邮箱等）</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br w:type="textWrapping"/>
      </w: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pStyle w:val="6"/>
        <w:rPr>
          <w:color w:val="auto"/>
          <w:highlight w:val="none"/>
        </w:rPr>
      </w:pPr>
    </w:p>
    <w:p>
      <w:pPr>
        <w:widowControl/>
        <w:spacing w:before="75" w:after="75"/>
        <w:jc w:val="center"/>
        <w:rPr>
          <w:rFonts w:ascii="宋体" w:hAnsi="宋体" w:cs="宋体"/>
          <w:color w:val="auto"/>
          <w:kern w:val="0"/>
          <w:sz w:val="24"/>
          <w:highlight w:val="none"/>
        </w:rPr>
      </w:pP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二、投标人的资格及资信证明文件</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二-1单位授权书（若有）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我方的单位负责人</w:t>
      </w:r>
      <w:r>
        <w:rPr>
          <w:rFonts w:hint="eastAsia" w:ascii="宋体" w:hAnsi="宋体" w:cs="宋体"/>
          <w:color w:val="auto"/>
          <w:kern w:val="0"/>
          <w:sz w:val="24"/>
          <w:highlight w:val="none"/>
          <w:u w:val="single"/>
        </w:rPr>
        <w:t>（填写“单位负责人全名”）</w:t>
      </w:r>
      <w:r>
        <w:rPr>
          <w:rFonts w:hint="eastAsia" w:ascii="宋体" w:hAnsi="宋体" w:cs="宋体"/>
          <w:color w:val="auto"/>
          <w:kern w:val="0"/>
          <w:sz w:val="24"/>
          <w:highlight w:val="none"/>
        </w:rPr>
        <w:t>授权</w:t>
      </w:r>
      <w:r>
        <w:rPr>
          <w:rFonts w:hint="eastAsia" w:ascii="宋体" w:hAnsi="宋体" w:cs="宋体"/>
          <w:color w:val="auto"/>
          <w:kern w:val="0"/>
          <w:sz w:val="24"/>
          <w:highlight w:val="none"/>
          <w:u w:val="single"/>
        </w:rPr>
        <w:t>（填写“投标人代表全名”）</w:t>
      </w:r>
      <w:r>
        <w:rPr>
          <w:rFonts w:hint="eastAsia" w:ascii="宋体" w:hAnsi="宋体" w:cs="宋体"/>
          <w:color w:val="auto"/>
          <w:kern w:val="0"/>
          <w:sz w:val="24"/>
          <w:highlight w:val="none"/>
        </w:rPr>
        <w:t>为投标人代表，代表我方参加</w:t>
      </w:r>
      <w:r>
        <w:rPr>
          <w:rFonts w:hint="eastAsia" w:ascii="宋体" w:hAnsi="宋体" w:cs="宋体"/>
          <w:color w:val="auto"/>
          <w:kern w:val="0"/>
          <w:sz w:val="24"/>
          <w:highlight w:val="none"/>
          <w:u w:val="single"/>
        </w:rPr>
        <w:t>（填写“项目名称”）</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投标人代表无转委权。特此授权。</w:t>
      </w:r>
    </w:p>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（以下无正文）</w:t>
      </w:r>
    </w:p>
    <w:p>
      <w:pPr>
        <w:widowControl/>
        <w:spacing w:before="75" w:after="75"/>
        <w:ind w:firstLine="420"/>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单位负责人：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手机：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手机：              </w:t>
      </w:r>
    </w:p>
    <w:p>
      <w:pPr>
        <w:widowControl/>
        <w:spacing w:before="75" w:after="75"/>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单位法定代表人签字或盖章：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接受授权方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right"/>
        <w:rPr>
          <w:rFonts w:ascii="宋体" w:hAnsi="宋体" w:cs="宋体"/>
          <w:color w:val="auto"/>
          <w:kern w:val="0"/>
          <w:sz w:val="24"/>
          <w:highlight w:val="none"/>
        </w:rPr>
      </w:pPr>
      <w:r>
        <w:rPr>
          <w:rFonts w:hint="eastAsia" w:ascii="宋体" w:hAnsi="宋体" w:cs="宋体"/>
          <w:color w:val="auto"/>
          <w:kern w:val="0"/>
          <w:sz w:val="24"/>
          <w:highlight w:val="none"/>
        </w:rPr>
        <w:t>签署日期：    年   月   日</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附：单位负责人、投标人代表的身份证正反面复印件</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要求：真实有效且内容完整、清晰、整洁。</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tc>
      </w:tr>
    </w:tbl>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※注意：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4、投标人为自然人的，可不填写本授权书。</w:t>
      </w:r>
    </w:p>
    <w:p>
      <w:pPr>
        <w:widowControl/>
        <w:spacing w:line="360" w:lineRule="auto"/>
        <w:jc w:val="left"/>
        <w:rPr>
          <w:rFonts w:ascii="宋体" w:hAnsi="宋体" w:cs="宋体"/>
          <w:b/>
          <w:bCs/>
          <w:color w:val="auto"/>
          <w:kern w:val="0"/>
          <w:sz w:val="24"/>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Fonts w:ascii="宋体" w:hAnsi="宋体" w:cs="宋体"/>
          <w:color w:val="auto"/>
          <w:sz w:val="36"/>
          <w:szCs w:val="36"/>
          <w:highlight w:val="none"/>
        </w:rPr>
      </w:pPr>
      <w:r>
        <w:rPr>
          <w:rStyle w:val="27"/>
          <w:rFonts w:hint="eastAsia" w:ascii="宋体" w:hAnsi="宋体" w:cs="宋体"/>
          <w:color w:val="auto"/>
          <w:highlight w:val="none"/>
        </w:rPr>
        <w:t>二-2营业执照等证明文件</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r>
        <w:rPr>
          <w:rFonts w:hint="eastAsia" w:ascii="宋体" w:hAnsi="宋体" w:cs="宋体"/>
          <w:color w:val="auto"/>
          <w:highlight w:val="none"/>
          <w:u w:val="single"/>
        </w:rPr>
        <w:t>       </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）投标人为法人（包括企业、事业单位和社会团体）的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w:t>
      </w:r>
      <w:r>
        <w:rPr>
          <w:rFonts w:hint="eastAsia" w:ascii="宋体" w:hAnsi="宋体" w:cs="宋体"/>
          <w:color w:val="auto"/>
          <w:highlight w:val="none"/>
          <w:u w:val="single"/>
        </w:rPr>
        <w:t>（请填写法人的具体证照名称）</w:t>
      </w:r>
      <w:r>
        <w:rPr>
          <w:rFonts w:hint="eastAsia" w:ascii="宋体" w:hAnsi="宋体" w:cs="宋体"/>
          <w:color w:val="auto"/>
          <w:highlight w:val="none"/>
        </w:rPr>
        <w:t>复印件，该证明材料真实有效，否则我方负全部责任。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）投标人为非法人（包括其他组织、自然人）的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（请填写非自然人的非法人的具体证照名称）</w:t>
      </w:r>
      <w:r>
        <w:rPr>
          <w:rFonts w:hint="eastAsia" w:ascii="宋体" w:hAnsi="宋体" w:cs="宋体"/>
          <w:color w:val="auto"/>
          <w:highlight w:val="none"/>
        </w:rPr>
        <w:t>复印件，该证明材料真实有效，否则我方负全部责任。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（请填写自然人的身份证件名称）</w:t>
      </w:r>
      <w:r>
        <w:rPr>
          <w:rFonts w:hint="eastAsia" w:ascii="宋体" w:hAnsi="宋体" w:cs="宋体"/>
          <w:color w:val="auto"/>
          <w:highlight w:val="none"/>
        </w:rPr>
        <w:t>复印件，该证明材料真实有效，否则我方负全部责任。</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※注意：</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jc w:val="center"/>
        <w:rPr>
          <w:rStyle w:val="27"/>
          <w:rFonts w:ascii="宋体" w:hAnsi="宋体" w:cs="宋体"/>
          <w:color w:val="auto"/>
          <w:sz w:val="22"/>
          <w:szCs w:val="22"/>
          <w:highlight w:val="none"/>
        </w:rPr>
      </w:pPr>
    </w:p>
    <w:p>
      <w:pPr>
        <w:pStyle w:val="19"/>
        <w:widowControl/>
        <w:spacing w:line="480" w:lineRule="exact"/>
        <w:jc w:val="center"/>
        <w:rPr>
          <w:rFonts w:ascii="宋体" w:hAnsi="宋体" w:cs="宋体"/>
          <w:color w:val="auto"/>
          <w:sz w:val="32"/>
          <w:szCs w:val="32"/>
          <w:highlight w:val="none"/>
        </w:rPr>
      </w:pPr>
      <w:r>
        <w:rPr>
          <w:rStyle w:val="27"/>
          <w:rFonts w:hint="eastAsia" w:ascii="宋体" w:hAnsi="宋体" w:cs="宋体"/>
          <w:color w:val="auto"/>
          <w:sz w:val="22"/>
          <w:szCs w:val="22"/>
          <w:highlight w:val="none"/>
        </w:rPr>
        <w:t>二-3财务状况报告（财务报告、或资信证明、或投标担保函）</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）投标人提供财务报告的</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□企业适用：现附上我方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□事业单位适用：现附上我方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□社会团体、民办非企适用：现附上我方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财务报告复印件，包括资产负债表、业务活动表、现金流量表、会计师事务所营业执照和注册会计师资格证书，上述证明材料真实有效，否则我方负全部责任。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）投标人提供资信证明的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）投标人提供投标担保函的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现附上由财政部门认可的政府采购专业担保机构：</w:t>
      </w:r>
      <w:r>
        <w:rPr>
          <w:rFonts w:hint="eastAsia" w:ascii="宋体" w:hAnsi="宋体" w:cs="宋体"/>
          <w:color w:val="auto"/>
          <w:highlight w:val="none"/>
          <w:u w:val="single"/>
        </w:rPr>
        <w:t>（填写“担保机构全称”）</w:t>
      </w:r>
      <w:r>
        <w:rPr>
          <w:rFonts w:hint="eastAsia" w:ascii="宋体" w:hAnsi="宋体" w:cs="宋体"/>
          <w:color w:val="auto"/>
          <w:highlight w:val="none"/>
        </w:rPr>
        <w:t>出具的投标担保函复印件，上述证明材料真实有效，否则我方负全部责任。</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2、投标人提供的财务报告复印件（成立年限按照投标截止时间推算）应符合下列规定：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2.1成立年限满1年及以上的投标人，提供经审计的招标文件规定的年度财务报告。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2.2成立年限满半年但不足1年的投标人，提供该半年度中任一季度的季度财务报告或该半年度的半年度财务报告。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9"/>
        <w:widowControl/>
        <w:jc w:val="center"/>
        <w:rPr>
          <w:color w:val="auto"/>
          <w:highlight w:val="none"/>
        </w:rPr>
      </w:pPr>
      <w:r>
        <w:rPr>
          <w:rFonts w:hint="eastAsia" w:ascii="宋体" w:hAnsi="宋体" w:cs="宋体"/>
          <w:color w:val="auto"/>
          <w:sz w:val="28"/>
          <w:szCs w:val="28"/>
          <w:highlight w:val="none"/>
        </w:rPr>
        <w:t>二</w:t>
      </w:r>
      <w:r>
        <w:rPr>
          <w:rStyle w:val="27"/>
          <w:rFonts w:hint="eastAsia" w:ascii="宋体" w:hAnsi="宋体" w:cs="宋体"/>
          <w:color w:val="auto"/>
          <w:sz w:val="21"/>
          <w:szCs w:val="21"/>
          <w:highlight w:val="none"/>
        </w:rPr>
        <w:t>-4依法缴纳税收证明材料</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ind w:firstLine="420"/>
        <w:rPr>
          <w:color w:val="auto"/>
          <w:highlight w:val="none"/>
        </w:rPr>
      </w:pPr>
      <w:r>
        <w:rPr>
          <w:rFonts w:hint="eastAsia" w:ascii="宋体" w:hAnsi="宋体" w:cs="宋体"/>
          <w:color w:val="auto"/>
          <w:sz w:val="21"/>
          <w:szCs w:val="21"/>
          <w:highlight w:val="none"/>
        </w:rPr>
        <w:t>1、依法缴纳税收的投标人</w:t>
      </w:r>
    </w:p>
    <w:p>
      <w:pPr>
        <w:pStyle w:val="19"/>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9"/>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9"/>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9"/>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9"/>
        <w:widowControl/>
        <w:ind w:firstLine="420"/>
        <w:rPr>
          <w:color w:val="auto"/>
          <w:highlight w:val="none"/>
        </w:rPr>
      </w:pPr>
      <w:r>
        <w:rPr>
          <w:rFonts w:hint="eastAsia" w:ascii="宋体" w:hAnsi="宋体" w:cs="宋体"/>
          <w:color w:val="auto"/>
          <w:sz w:val="21"/>
          <w:szCs w:val="21"/>
          <w:highlight w:val="none"/>
        </w:rPr>
        <w:t>2、依法免税的投标人</w:t>
      </w:r>
    </w:p>
    <w:p>
      <w:pPr>
        <w:pStyle w:val="19"/>
        <w:widowControl/>
        <w:ind w:firstLine="420"/>
        <w:rPr>
          <w:color w:val="auto"/>
          <w:highlight w:val="none"/>
        </w:rPr>
      </w:pPr>
      <w:r>
        <w:rPr>
          <w:rFonts w:hint="eastAsia" w:ascii="宋体" w:hAnsi="宋体" w:cs="宋体"/>
          <w:color w:val="auto"/>
          <w:sz w:val="21"/>
          <w:szCs w:val="21"/>
          <w:highlight w:val="none"/>
        </w:rPr>
        <w:t>（ ）现附上我方依法免税证明材料复印件，上述证明材料真实有效，否则我方负全部责任。</w:t>
      </w:r>
    </w:p>
    <w:p>
      <w:pPr>
        <w:pStyle w:val="19"/>
        <w:widowControl/>
        <w:rPr>
          <w:color w:val="auto"/>
          <w:highlight w:val="none"/>
        </w:rPr>
      </w:pPr>
      <w:r>
        <w:rPr>
          <w:rFonts w:ascii="Calibri" w:hAnsi="Calibri" w:cs="Calibri"/>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※注意：</w:t>
      </w:r>
    </w:p>
    <w:p>
      <w:pPr>
        <w:pStyle w:val="19"/>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9"/>
        <w:widowControl/>
        <w:rPr>
          <w:color w:val="auto"/>
          <w:highlight w:val="none"/>
        </w:rPr>
      </w:pPr>
      <w:r>
        <w:rPr>
          <w:rFonts w:hint="eastAsia" w:ascii="宋体" w:hAnsi="宋体" w:cs="宋体"/>
          <w:color w:val="auto"/>
          <w:sz w:val="21"/>
          <w:szCs w:val="21"/>
          <w:highlight w:val="none"/>
        </w:rPr>
        <w:t>2、投标人提供的税收凭据复印件应符合下列规定：</w:t>
      </w:r>
    </w:p>
    <w:p>
      <w:pPr>
        <w:pStyle w:val="19"/>
        <w:widowControl/>
        <w:rPr>
          <w:color w:val="auto"/>
          <w:highlight w:val="none"/>
        </w:rPr>
      </w:pPr>
      <w:r>
        <w:rPr>
          <w:rFonts w:hint="eastAsia" w:ascii="宋体" w:hAnsi="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9"/>
        <w:widowControl/>
        <w:rPr>
          <w:color w:val="auto"/>
          <w:highlight w:val="none"/>
        </w:rPr>
      </w:pPr>
      <w:r>
        <w:rPr>
          <w:rFonts w:hint="eastAsia" w:ascii="宋体" w:hAnsi="宋体" w:cs="宋体"/>
          <w:color w:val="auto"/>
          <w:sz w:val="21"/>
          <w:szCs w:val="21"/>
          <w:highlight w:val="none"/>
        </w:rPr>
        <w:t>2.2投标截止时间的当月成立且已依法缴纳税收的投标人，提供投标截止时间当月的税收凭据复印件。</w:t>
      </w:r>
    </w:p>
    <w:p>
      <w:pPr>
        <w:pStyle w:val="19"/>
        <w:widowControl/>
        <w:rPr>
          <w:color w:val="auto"/>
          <w:highlight w:val="none"/>
        </w:rPr>
      </w:pPr>
      <w:r>
        <w:rPr>
          <w:rFonts w:hint="eastAsia" w:ascii="宋体" w:hAnsi="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9"/>
        <w:widowControl/>
        <w:rPr>
          <w:color w:val="auto"/>
          <w:highlight w:val="none"/>
        </w:rPr>
      </w:pPr>
    </w:p>
    <w:p>
      <w:pPr>
        <w:pStyle w:val="19"/>
        <w:widowControl/>
        <w:rPr>
          <w:color w:val="auto"/>
          <w:highlight w:val="none"/>
        </w:rPr>
      </w:pPr>
      <w:r>
        <w:rPr>
          <w:rFonts w:ascii="Calibri" w:hAnsi="Calibri" w:cs="Calibri"/>
          <w:color w:val="auto"/>
          <w:sz w:val="21"/>
          <w:szCs w:val="21"/>
          <w:highlight w:val="none"/>
        </w:rPr>
        <w:t> </w:t>
      </w:r>
    </w:p>
    <w:p>
      <w:pPr>
        <w:pStyle w:val="19"/>
        <w:widowControl/>
        <w:rPr>
          <w:color w:val="auto"/>
          <w:highlight w:val="none"/>
        </w:rPr>
      </w:pPr>
      <w:r>
        <w:rPr>
          <w:rFonts w:ascii="Calibri" w:hAnsi="Calibri" w:cs="Calibri"/>
          <w:color w:val="auto"/>
          <w:sz w:val="21"/>
          <w:szCs w:val="21"/>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 </w:t>
      </w:r>
    </w:p>
    <w:p>
      <w:pPr>
        <w:pStyle w:val="19"/>
        <w:widowControl/>
        <w:jc w:val="center"/>
        <w:rPr>
          <w:rFonts w:ascii="Calibri" w:hAnsi="Calibri" w:cs="Calibri"/>
          <w:color w:val="auto"/>
          <w:sz w:val="21"/>
          <w:szCs w:val="21"/>
          <w:highlight w:val="none"/>
        </w:rPr>
      </w:pPr>
      <w:r>
        <w:rPr>
          <w:rFonts w:ascii="Calibri" w:hAnsi="Calibri" w:cs="Calibri"/>
          <w:color w:val="auto"/>
          <w:sz w:val="21"/>
          <w:szCs w:val="21"/>
          <w:highlight w:val="none"/>
        </w:rPr>
        <w:br w:type="textWrapping"/>
      </w:r>
    </w:p>
    <w:p>
      <w:pPr>
        <w:rPr>
          <w:rFonts w:ascii="Calibri" w:hAnsi="Calibri" w:cs="Calibri"/>
          <w:color w:val="auto"/>
          <w:szCs w:val="21"/>
          <w:highlight w:val="none"/>
        </w:rPr>
      </w:pPr>
      <w:r>
        <w:rPr>
          <w:rFonts w:ascii="Calibri" w:hAnsi="Calibri" w:cs="Calibri"/>
          <w:color w:val="auto"/>
          <w:szCs w:val="21"/>
          <w:highlight w:val="none"/>
        </w:rPr>
        <w:br w:type="page"/>
      </w:r>
    </w:p>
    <w:p>
      <w:pPr>
        <w:pStyle w:val="19"/>
        <w:widowControl/>
        <w:jc w:val="center"/>
        <w:rPr>
          <w:color w:val="auto"/>
          <w:highlight w:val="none"/>
        </w:rPr>
      </w:pPr>
      <w:r>
        <w:rPr>
          <w:rStyle w:val="27"/>
          <w:rFonts w:hint="eastAsia" w:ascii="宋体" w:hAnsi="宋体" w:cs="宋体"/>
          <w:color w:val="auto"/>
          <w:sz w:val="21"/>
          <w:szCs w:val="21"/>
          <w:highlight w:val="none"/>
        </w:rPr>
        <w:t>二-5依法缴纳社会保障资金证明材料</w:t>
      </w:r>
    </w:p>
    <w:p>
      <w:pPr>
        <w:pStyle w:val="19"/>
        <w:widowControl/>
        <w:rPr>
          <w:color w:val="auto"/>
          <w:highlight w:val="none"/>
        </w:rPr>
      </w:pPr>
      <w:r>
        <w:rPr>
          <w:rFonts w:hint="eastAsia" w:ascii="宋体" w:hAnsi="宋体" w:cs="宋体"/>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9"/>
        <w:widowControl/>
        <w:ind w:firstLine="420"/>
        <w:rPr>
          <w:color w:val="auto"/>
          <w:highlight w:val="none"/>
        </w:rPr>
      </w:pPr>
      <w:r>
        <w:rPr>
          <w:rFonts w:hint="eastAsia" w:ascii="宋体" w:hAnsi="宋体" w:cs="宋体"/>
          <w:color w:val="auto"/>
          <w:sz w:val="21"/>
          <w:szCs w:val="21"/>
          <w:highlight w:val="none"/>
        </w:rPr>
        <w:t>1、依法缴纳社会保障资金的投标人</w:t>
      </w:r>
    </w:p>
    <w:p>
      <w:pPr>
        <w:pStyle w:val="19"/>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9"/>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9"/>
        <w:widowControl/>
        <w:ind w:firstLine="420"/>
        <w:rPr>
          <w:color w:val="auto"/>
          <w:highlight w:val="none"/>
        </w:rPr>
      </w:pP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ind w:firstLine="420"/>
        <w:rPr>
          <w:color w:val="auto"/>
          <w:highlight w:val="none"/>
        </w:rPr>
      </w:pPr>
      <w:r>
        <w:rPr>
          <w:rFonts w:hint="eastAsia" w:ascii="宋体" w:hAnsi="宋体" w:cs="宋体"/>
          <w:color w:val="auto"/>
          <w:sz w:val="21"/>
          <w:szCs w:val="21"/>
          <w:highlight w:val="none"/>
        </w:rPr>
        <w:t>2、依法不需要缴纳社会保障资金的投标人</w:t>
      </w:r>
    </w:p>
    <w:p>
      <w:pPr>
        <w:pStyle w:val="19"/>
        <w:widowControl/>
        <w:ind w:firstLine="420"/>
        <w:rPr>
          <w:color w:val="auto"/>
          <w:highlight w:val="none"/>
        </w:rPr>
      </w:pPr>
      <w:r>
        <w:rPr>
          <w:rFonts w:hint="eastAsia" w:ascii="宋体" w:hAnsi="宋体" w:cs="宋体"/>
          <w:color w:val="auto"/>
          <w:sz w:val="21"/>
          <w:szCs w:val="21"/>
          <w:highlight w:val="none"/>
        </w:rPr>
        <w:t>（ ）现附上我方依法不需要缴纳社会保障资金证明材料复印件，上述证明材料真实有效，否则我方负全部责任。</w:t>
      </w:r>
    </w:p>
    <w:p>
      <w:pPr>
        <w:pStyle w:val="19"/>
        <w:widowControl/>
        <w:rPr>
          <w:color w:val="auto"/>
          <w:highlight w:val="none"/>
        </w:rPr>
      </w:pPr>
      <w:r>
        <w:rPr>
          <w:rFonts w:ascii="Calibri" w:hAnsi="Calibri" w:cs="Calibri"/>
          <w:color w:val="auto"/>
          <w:sz w:val="21"/>
          <w:szCs w:val="21"/>
          <w:highlight w:val="none"/>
        </w:rPr>
        <w:t> </w:t>
      </w:r>
    </w:p>
    <w:p>
      <w:pPr>
        <w:pStyle w:val="19"/>
        <w:widowControl/>
        <w:rPr>
          <w:color w:val="auto"/>
          <w:highlight w:val="none"/>
        </w:rPr>
      </w:pPr>
      <w:r>
        <w:rPr>
          <w:rFonts w:hint="eastAsia" w:ascii="宋体" w:hAnsi="宋体" w:cs="宋体"/>
          <w:color w:val="auto"/>
          <w:sz w:val="21"/>
          <w:szCs w:val="21"/>
          <w:highlight w:val="none"/>
        </w:rPr>
        <w:t>※注意：</w:t>
      </w:r>
    </w:p>
    <w:p>
      <w:pPr>
        <w:pStyle w:val="19"/>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9"/>
        <w:widowControl/>
        <w:rPr>
          <w:color w:val="auto"/>
          <w:highlight w:val="none"/>
        </w:rPr>
      </w:pPr>
      <w:r>
        <w:rPr>
          <w:rFonts w:hint="eastAsia" w:ascii="宋体" w:hAnsi="宋体" w:cs="宋体"/>
          <w:color w:val="auto"/>
          <w:sz w:val="21"/>
          <w:szCs w:val="21"/>
          <w:highlight w:val="none"/>
        </w:rPr>
        <w:t>2、投标人提供的社会保险凭据复印件应符合下列规定：</w:t>
      </w:r>
    </w:p>
    <w:p>
      <w:pPr>
        <w:pStyle w:val="19"/>
        <w:widowControl/>
        <w:rPr>
          <w:color w:val="auto"/>
          <w:highlight w:val="none"/>
        </w:rPr>
      </w:pPr>
      <w:r>
        <w:rPr>
          <w:rFonts w:hint="eastAsia" w:ascii="宋体" w:hAnsi="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9"/>
        <w:widowControl/>
        <w:rPr>
          <w:color w:val="auto"/>
          <w:highlight w:val="none"/>
        </w:rPr>
      </w:pPr>
      <w:r>
        <w:rPr>
          <w:rFonts w:hint="eastAsia" w:ascii="宋体" w:hAnsi="宋体" w:cs="宋体"/>
          <w:color w:val="auto"/>
          <w:sz w:val="21"/>
          <w:szCs w:val="21"/>
          <w:highlight w:val="none"/>
        </w:rPr>
        <w:t>2.2投标截止时间的当月成立且已依法缴纳社会保障资金的投标人，提供投标截止时间当月的社会保险凭据复印件。</w:t>
      </w:r>
    </w:p>
    <w:p>
      <w:pPr>
        <w:pStyle w:val="19"/>
        <w:widowControl/>
        <w:rPr>
          <w:color w:val="auto"/>
          <w:highlight w:val="none"/>
        </w:rPr>
      </w:pPr>
      <w:r>
        <w:rPr>
          <w:rFonts w:hint="eastAsia" w:ascii="宋体" w:hAnsi="宋体" w:cs="宋体"/>
          <w:color w:val="auto"/>
          <w:sz w:val="21"/>
          <w:szCs w:val="21"/>
          <w:highlight w:val="none"/>
        </w:rPr>
        <w:t>2.3投标截止时间的当月成立但因税务机关</w:t>
      </w:r>
      <w:r>
        <w:rPr>
          <w:rFonts w:ascii="Calibri" w:hAnsi="Calibri" w:cs="Calibri"/>
          <w:color w:val="auto"/>
          <w:sz w:val="21"/>
          <w:szCs w:val="21"/>
          <w:highlight w:val="none"/>
        </w:rPr>
        <w:t>/</w:t>
      </w:r>
      <w:r>
        <w:rPr>
          <w:rFonts w:hint="eastAsia" w:ascii="宋体" w:hAnsi="宋体" w:cs="宋体"/>
          <w:color w:val="auto"/>
          <w:sz w:val="21"/>
          <w:szCs w:val="21"/>
          <w:highlight w:val="none"/>
        </w:rPr>
        <w:t>社会保障资金管理机关原因导致其尚未依法缴纳社会保障资金的投标人，提供依法缴纳社会保障资金承诺书（格式自拟），该承诺书视同社会保险凭据。</w:t>
      </w:r>
    </w:p>
    <w:p>
      <w:pPr>
        <w:pStyle w:val="19"/>
        <w:widowControl/>
        <w:rPr>
          <w:color w:val="auto"/>
          <w:highlight w:val="none"/>
        </w:rPr>
      </w:pPr>
    </w:p>
    <w:p>
      <w:pPr>
        <w:pStyle w:val="19"/>
        <w:widowControl/>
        <w:rPr>
          <w:color w:val="auto"/>
          <w:highlight w:val="none"/>
        </w:rPr>
      </w:pPr>
      <w:r>
        <w:rPr>
          <w:rFonts w:ascii="Calibri" w:hAnsi="Calibri" w:cs="Calibri"/>
          <w:color w:val="auto"/>
          <w:sz w:val="21"/>
          <w:szCs w:val="21"/>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rPr>
          <w:color w:val="auto"/>
          <w:highlight w:val="none"/>
        </w:rPr>
      </w:pPr>
      <w:r>
        <w:rPr>
          <w:rFonts w:hint="eastAsia" w:ascii="宋体" w:hAnsi="宋体" w:cs="宋体"/>
          <w:color w:val="auto"/>
          <w:sz w:val="21"/>
          <w:szCs w:val="21"/>
          <w:highlight w:val="none"/>
        </w:rPr>
        <w:t> </w:t>
      </w:r>
    </w:p>
    <w:p>
      <w:pPr>
        <w:pStyle w:val="19"/>
        <w:widowControl/>
        <w:spacing w:line="480" w:lineRule="exact"/>
        <w:jc w:val="center"/>
        <w:rPr>
          <w:rStyle w:val="27"/>
          <w:rFonts w:ascii="宋体" w:hAnsi="宋体" w:cs="宋体"/>
          <w:color w:val="auto"/>
          <w:sz w:val="21"/>
          <w:szCs w:val="21"/>
          <w:highlight w:val="none"/>
        </w:rPr>
      </w:pPr>
    </w:p>
    <w:p>
      <w:pPr>
        <w:rPr>
          <w:rStyle w:val="27"/>
          <w:rFonts w:ascii="宋体" w:hAnsi="宋体" w:cs="宋体"/>
          <w:color w:val="auto"/>
          <w:szCs w:val="21"/>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spacing w:line="480" w:lineRule="exact"/>
        <w:jc w:val="center"/>
        <w:rPr>
          <w:rFonts w:ascii="宋体" w:hAnsi="宋体" w:cs="宋体"/>
          <w:color w:val="auto"/>
          <w:sz w:val="28"/>
          <w:szCs w:val="28"/>
          <w:highlight w:val="none"/>
        </w:rPr>
      </w:pPr>
      <w:r>
        <w:rPr>
          <w:rStyle w:val="27"/>
          <w:rFonts w:hint="eastAsia" w:ascii="宋体" w:hAnsi="宋体" w:cs="宋体"/>
          <w:color w:val="auto"/>
          <w:sz w:val="21"/>
          <w:szCs w:val="21"/>
          <w:highlight w:val="none"/>
        </w:rPr>
        <w:t>二-6 具备履行合同所必需设备和专业技术能力的声明函（若有）</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 （采购人或采购代理机构）</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我方具备履行合同所必需的设备和专业技术能力，否则产生不利后果由我方承担责任。</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特此声明。</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※注意：</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1、招标文件未要求投标人提供“具备履行合同所必需的设备和专业技术能力专项证明材料”的，投标人应提供本声明函。</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2、招标文件要求投标人提供“具备履行合同所必需的设备和专业技术能力专项证明材料”的，投标人可不提供本声明函。</w:t>
      </w:r>
    </w:p>
    <w:p>
      <w:pPr>
        <w:pStyle w:val="19"/>
        <w:widowControl/>
        <w:spacing w:line="480" w:lineRule="exact"/>
        <w:ind w:firstLine="420"/>
        <w:rPr>
          <w:rFonts w:ascii="宋体" w:hAnsi="宋体" w:cs="宋体"/>
          <w:color w:val="auto"/>
          <w:highlight w:val="none"/>
        </w:rPr>
      </w:pPr>
      <w:r>
        <w:rPr>
          <w:rFonts w:hint="eastAsia" w:ascii="宋体" w:hAnsi="宋体" w:cs="宋体"/>
          <w:color w:val="auto"/>
          <w:highlight w:val="none"/>
        </w:rPr>
        <w:t>3、请投标人根据实际情况如实声明，否则视为提供虚假材料。</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9"/>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7"/>
          <w:rFonts w:hint="eastAsia" w:ascii="宋体" w:hAnsi="宋体" w:cs="宋体"/>
          <w:color w:val="auto"/>
          <w:highlight w:val="none"/>
        </w:rPr>
        <w:t>-7参加采购活动前三年内在经营活动中没有重大违法记录书面声明</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请投标人根据实际情况如实声明，否则</w:t>
      </w:r>
      <w:r>
        <w:rPr>
          <w:rFonts w:hint="eastAsia" w:ascii="宋体" w:hAnsi="宋体" w:cs="宋体"/>
          <w:b/>
          <w:bCs/>
          <w:color w:val="auto"/>
          <w:kern w:val="0"/>
          <w:sz w:val="24"/>
          <w:highlight w:val="none"/>
        </w:rPr>
        <w:t>视为提供虚假材料。</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7"/>
          <w:rFonts w:hint="eastAsia" w:ascii="宋体" w:hAnsi="宋体" w:cs="宋体"/>
          <w:color w:val="auto"/>
          <w:highlight w:val="none"/>
        </w:rPr>
        <w:t>-8信用记录查询结果</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1、由资格审查小组通过网站查询并打印投标人的信用记录。</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pStyle w:val="19"/>
        <w:widowControl/>
        <w:spacing w:line="480" w:lineRule="exact"/>
        <w:rPr>
          <w:rFonts w:ascii="宋体" w:hAnsi="宋体" w:cs="宋体"/>
          <w:color w:val="auto"/>
          <w:highlight w:val="none"/>
        </w:rPr>
      </w:pPr>
    </w:p>
    <w:p>
      <w:pPr>
        <w:spacing w:line="400" w:lineRule="exact"/>
        <w:jc w:val="center"/>
        <w:rPr>
          <w:rFonts w:ascii="宋体" w:hAnsi="宋体" w:cs="宋体"/>
          <w:b/>
          <w:color w:val="auto"/>
          <w:sz w:val="24"/>
          <w:highlight w:val="none"/>
          <w:shd w:val="clear" w:color="auto" w:fill="FFFFFF"/>
        </w:rPr>
      </w:pPr>
      <w:r>
        <w:rPr>
          <w:rStyle w:val="27"/>
          <w:rFonts w:hint="eastAsia" w:ascii="宋体" w:hAnsi="宋体" w:cs="宋体"/>
          <w:color w:val="auto"/>
          <w:sz w:val="24"/>
          <w:highlight w:val="none"/>
        </w:rPr>
        <w:t>二-9</w:t>
      </w:r>
      <w:r>
        <w:rPr>
          <w:rFonts w:hint="eastAsia" w:ascii="宋体" w:hAnsi="宋体" w:cs="宋体"/>
          <w:b/>
          <w:color w:val="auto"/>
          <w:sz w:val="24"/>
          <w:highlight w:val="none"/>
          <w:shd w:val="clear" w:color="auto" w:fill="FFFFFF"/>
        </w:rPr>
        <w:t>无行贿犯罪记录承诺函</w:t>
      </w:r>
    </w:p>
    <w:p>
      <w:pPr>
        <w:autoSpaceDN w:val="0"/>
        <w:spacing w:beforeAutospacing="1" w:afterAutospacing="1"/>
        <w:rPr>
          <w:rFonts w:ascii="宋体" w:hAnsi="宋体" w:cs="宋体"/>
          <w:color w:val="auto"/>
          <w:sz w:val="24"/>
          <w:highlight w:val="none"/>
        </w:rPr>
      </w:pPr>
      <w:r>
        <w:rPr>
          <w:rFonts w:hint="eastAsia" w:ascii="宋体" w:hAnsi="宋体" w:cs="宋体"/>
          <w:color w:val="auto"/>
          <w:sz w:val="24"/>
          <w:highlight w:val="none"/>
        </w:rPr>
        <w:t>致：</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公司名称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法定代表人 </w:t>
      </w:r>
      <w:r>
        <w:rPr>
          <w:rFonts w:hint="eastAsia" w:ascii="宋体" w:hAnsi="宋体" w:cs="宋体"/>
          <w:color w:val="auto"/>
          <w:sz w:val="24"/>
          <w:highlight w:val="none"/>
        </w:rPr>
        <w:t>）及（</w:t>
      </w:r>
      <w:r>
        <w:rPr>
          <w:rFonts w:hint="eastAsia" w:ascii="宋体" w:hAnsi="宋体" w:cs="宋体"/>
          <w:color w:val="auto"/>
          <w:sz w:val="24"/>
          <w:highlight w:val="none"/>
          <w:u w:val="single"/>
        </w:rPr>
        <w:t xml:space="preserve">  投标代表 </w:t>
      </w:r>
      <w:r>
        <w:rPr>
          <w:rFonts w:hint="eastAsia" w:ascii="宋体" w:hAnsi="宋体" w:cs="宋体"/>
          <w:color w:val="auto"/>
          <w:sz w:val="24"/>
          <w:highlight w:val="none"/>
        </w:rPr>
        <w:t>）承诺在参加采购经营活动中没有行贿犯罪记录，否则产生不利后果由我方承担责任。</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特此承诺。</w:t>
      </w:r>
    </w:p>
    <w:p>
      <w:pPr>
        <w:autoSpaceDN w:val="0"/>
        <w:spacing w:beforeAutospacing="1" w:afterAutospacing="1"/>
        <w:rPr>
          <w:rFonts w:ascii="宋体" w:hAnsi="宋体" w:cs="宋体"/>
          <w:color w:val="auto"/>
          <w:sz w:val="24"/>
          <w:highlight w:val="none"/>
        </w:rPr>
      </w:pP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★注意：</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1、纸质响应文件正本中的本材料应为原件。</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2、请</w:t>
      </w:r>
      <w:r>
        <w:rPr>
          <w:rFonts w:hint="eastAsia" w:ascii="宋体" w:hAnsi="宋体" w:cs="宋体"/>
          <w:color w:val="auto"/>
          <w:sz w:val="24"/>
          <w:highlight w:val="none"/>
        </w:rPr>
        <w:t>投标人</w:t>
      </w:r>
      <w:r>
        <w:rPr>
          <w:rFonts w:hint="eastAsia" w:ascii="宋体" w:hAnsi="宋体" w:cs="宋体"/>
          <w:color w:val="auto"/>
          <w:sz w:val="24"/>
          <w:highlight w:val="none"/>
          <w:shd w:val="clear" w:color="auto" w:fill="FFFFFF"/>
        </w:rPr>
        <w:t>根据实际情况如实声明，否则</w:t>
      </w:r>
      <w:r>
        <w:rPr>
          <w:rFonts w:hint="eastAsia" w:ascii="宋体" w:hAnsi="宋体" w:cs="宋体"/>
          <w:b/>
          <w:color w:val="auto"/>
          <w:sz w:val="24"/>
          <w:highlight w:val="none"/>
          <w:shd w:val="clear" w:color="auto" w:fill="FFFFFF"/>
        </w:rPr>
        <w:t>视为提供虚假材料。</w:t>
      </w:r>
    </w:p>
    <w:p>
      <w:pPr>
        <w:pStyle w:val="19"/>
        <w:widowControl/>
        <w:spacing w:line="480" w:lineRule="exact"/>
        <w:jc w:val="center"/>
        <w:rPr>
          <w:rFonts w:ascii="宋体" w:hAnsi="宋体" w:cs="宋体"/>
          <w:color w:val="auto"/>
          <w:highlight w:val="none"/>
        </w:rPr>
      </w:pPr>
    </w:p>
    <w:p>
      <w:pPr>
        <w:pStyle w:val="19"/>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widowControl/>
        <w:spacing w:line="480" w:lineRule="exact"/>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jc w:val="center"/>
        <w:rPr>
          <w:rFonts w:ascii="宋体" w:hAnsi="宋体" w:cs="宋体"/>
          <w:color w:val="auto"/>
          <w:highlight w:val="none"/>
        </w:rPr>
      </w:pPr>
    </w:p>
    <w:p>
      <w:pPr>
        <w:pStyle w:val="19"/>
        <w:widowControl/>
        <w:spacing w:line="480" w:lineRule="exact"/>
        <w:rPr>
          <w:rFonts w:ascii="宋体" w:hAnsi="宋体" w:cs="宋体"/>
          <w:color w:val="auto"/>
          <w:highlight w:val="none"/>
        </w:rPr>
      </w:pP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150" w:after="150"/>
        <w:jc w:val="center"/>
        <w:outlineLvl w:val="3"/>
        <w:rPr>
          <w:rFonts w:ascii="宋体" w:hAnsi="宋体" w:cs="宋体"/>
          <w:b/>
          <w:bCs/>
          <w:color w:val="auto"/>
          <w:kern w:val="0"/>
          <w:sz w:val="24"/>
          <w:highlight w:val="none"/>
        </w:rPr>
      </w:pPr>
      <w:r>
        <w:rPr>
          <w:rFonts w:hint="eastAsia" w:ascii="宋体" w:hAnsi="宋体" w:cs="宋体"/>
          <w:b/>
          <w:bCs/>
          <w:color w:val="auto"/>
          <w:kern w:val="0"/>
          <w:sz w:val="24"/>
          <w:highlight w:val="none"/>
        </w:rPr>
        <w:t>二-10中小企业声明函</w:t>
      </w:r>
    </w:p>
    <w:p>
      <w:pPr>
        <w:widowControl/>
        <w:spacing w:before="100" w:beforeAutospacing="1" w:after="240"/>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 （采购文件中明确的所属行业 ）行业；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企业名称（盖章）：</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ascii="宋体" w:hAnsi="宋体" w:cs="宋体"/>
          <w:color w:val="auto"/>
          <w:kern w:val="0"/>
          <w:sz w:val="24"/>
          <w:highlight w:val="none"/>
        </w:rPr>
      </w:pPr>
    </w:p>
    <w:p>
      <w:pPr>
        <w:pageBreakBefore/>
        <w:widowControl/>
        <w:spacing w:before="150" w:after="150"/>
        <w:jc w:val="center"/>
        <w:outlineLvl w:val="4"/>
        <w:rPr>
          <w:rFonts w:ascii="宋体" w:hAnsi="宋体" w:cs="宋体"/>
          <w:b/>
          <w:bCs/>
          <w:color w:val="auto"/>
          <w:kern w:val="0"/>
          <w:sz w:val="20"/>
          <w:szCs w:val="20"/>
          <w:highlight w:val="none"/>
        </w:rPr>
      </w:pPr>
      <w:r>
        <w:rPr>
          <w:rFonts w:hint="eastAsia" w:ascii="宋体" w:hAnsi="宋体" w:cs="宋体"/>
          <w:b/>
          <w:bCs/>
          <w:color w:val="auto"/>
          <w:kern w:val="0"/>
          <w:sz w:val="24"/>
          <w:highlight w:val="none"/>
        </w:rPr>
        <w:t>中小企业声明函（工程、服务）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Cs w:val="21"/>
          <w:highlight w:val="none"/>
        </w:rPr>
      </w:pP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残疾人福利性单位声明函</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 w:val="24"/>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货物（不包括使用非残疾人福利性单位注册商标的货物）。（说明：只有部分货物由残疾人福利企业制造的，在该货物后标※）</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）由本投标人承建的（填写“所投采购包、品目号”）工程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）由本投标人承接的（填写“所投采购包、品目号”）服务；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2、若《残疾人福利性单位声明函》内容不真实，</w:t>
      </w:r>
      <w:r>
        <w:rPr>
          <w:rFonts w:hint="eastAsia" w:ascii="宋体" w:hAnsi="宋体" w:cs="宋体"/>
          <w:b/>
          <w:bCs/>
          <w:color w:val="auto"/>
          <w:kern w:val="0"/>
          <w:sz w:val="24"/>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75" w:after="75"/>
        <w:jc w:val="left"/>
        <w:rPr>
          <w:rFonts w:ascii="宋体" w:hAnsi="宋体" w:cs="宋体"/>
          <w:color w:val="auto"/>
          <w:kern w:val="0"/>
          <w:sz w:val="24"/>
          <w:highlight w:val="none"/>
        </w:rPr>
      </w:pP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20"/>
        <w:rPr>
          <w:rFonts w:ascii="宋体" w:hAnsi="宋体" w:cs="宋体"/>
          <w:color w:val="auto"/>
          <w:sz w:val="24"/>
          <w:szCs w:val="24"/>
          <w:highlight w:val="none"/>
        </w:rPr>
      </w:pPr>
    </w:p>
    <w:p>
      <w:pPr>
        <w:rPr>
          <w:rFonts w:ascii="宋体" w:hAnsi="宋体" w:cs="宋体"/>
          <w:color w:val="auto"/>
          <w:kern w:val="0"/>
          <w:sz w:val="24"/>
          <w:highlight w:val="none"/>
        </w:rPr>
      </w:pPr>
    </w:p>
    <w:p>
      <w:pPr>
        <w:pStyle w:val="20"/>
        <w:rPr>
          <w:rFonts w:ascii="宋体" w:hAnsi="宋体" w:cs="宋体"/>
          <w:color w:val="auto"/>
          <w:sz w:val="24"/>
          <w:szCs w:val="24"/>
          <w:highlight w:val="none"/>
        </w:rPr>
      </w:pPr>
    </w:p>
    <w:p>
      <w:pPr>
        <w:rPr>
          <w:rFonts w:ascii="宋体" w:hAnsi="宋体" w:cs="宋体"/>
          <w:color w:val="auto"/>
          <w:kern w:val="0"/>
          <w:sz w:val="24"/>
          <w:highlight w:val="none"/>
        </w:rPr>
      </w:pPr>
    </w:p>
    <w:p>
      <w:pPr>
        <w:pStyle w:val="20"/>
        <w:rPr>
          <w:rFonts w:ascii="宋体" w:hAnsi="宋体" w:cs="宋体"/>
          <w:color w:val="auto"/>
          <w:sz w:val="24"/>
          <w:szCs w:val="24"/>
          <w:highlight w:val="none"/>
        </w:rPr>
      </w:pPr>
    </w:p>
    <w:p>
      <w:pPr>
        <w:rPr>
          <w:rFonts w:ascii="宋体" w:hAnsi="宋体" w:cs="宋体"/>
          <w:color w:val="auto"/>
          <w:kern w:val="0"/>
          <w:sz w:val="24"/>
          <w:highlight w:val="none"/>
        </w:rPr>
      </w:pPr>
    </w:p>
    <w:p>
      <w:pPr>
        <w:pStyle w:val="20"/>
        <w:rPr>
          <w:rFonts w:ascii="宋体" w:hAnsi="宋体" w:cs="宋体"/>
          <w:color w:val="auto"/>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                          </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二-11联合体协议</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兹有</w:t>
      </w:r>
      <w:r>
        <w:rPr>
          <w:rFonts w:hint="eastAsia" w:ascii="宋体" w:hAnsi="宋体" w:cs="宋体"/>
          <w:color w:val="auto"/>
          <w:kern w:val="0"/>
          <w:szCs w:val="21"/>
          <w:highlight w:val="none"/>
          <w:u w:val="single"/>
        </w:rPr>
        <w:t>（填写“联合体中各方的全称”，各方的全称之间请用“、”分割）</w:t>
      </w:r>
      <w:r>
        <w:rPr>
          <w:rFonts w:hint="eastAsia" w:ascii="宋体" w:hAnsi="宋体" w:cs="宋体"/>
          <w:color w:val="auto"/>
          <w:kern w:val="0"/>
          <w:szCs w:val="21"/>
          <w:highlight w:val="none"/>
        </w:rPr>
        <w:t>自愿组成联合体，共同参加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）的投标。现就联合体参加本项目投标的有关事宜达成下列协议：</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一、联合体各方应承担的工作和义务具体如下：</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（成员一的全称）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 w:val="24"/>
          <w:highlight w:val="none"/>
        </w:rPr>
        <w:t>二、联合体各方的合同金额占比，具体如下：</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 xml:space="preserve">  全称 </w:t>
      </w:r>
      <w:r>
        <w:rPr>
          <w:rFonts w:hint="eastAsia" w:ascii="宋体" w:hAnsi="宋体" w:cs="宋体"/>
          <w:color w:val="auto"/>
          <w:kern w:val="0"/>
          <w:szCs w:val="21"/>
          <w:highlight w:val="none"/>
        </w:rPr>
        <w:t>）的合同金额占合同总额的＿%；</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 xml:space="preserve"> 成员1的全称 </w:t>
      </w:r>
      <w:r>
        <w:rPr>
          <w:rFonts w:hint="eastAsia" w:ascii="宋体" w:hAnsi="宋体" w:cs="宋体"/>
          <w:color w:val="auto"/>
          <w:kern w:val="0"/>
          <w:szCs w:val="21"/>
          <w:highlight w:val="none"/>
        </w:rPr>
        <w:t>）的合同金额占合同总额的＿%；</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三、联合体各方约定：</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2、联合体各方约定由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代表联合体办理投标保证金事宜。</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3、</w:t>
      </w:r>
      <w:r>
        <w:rPr>
          <w:rFonts w:hint="eastAsia" w:ascii="宋体" w:hAnsi="宋体" w:cs="宋体"/>
          <w:color w:val="auto"/>
          <w:kern w:val="0"/>
          <w:sz w:val="24"/>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kern w:val="0"/>
          <w:szCs w:val="21"/>
          <w:highlight w:val="none"/>
          <w:u w:val="single"/>
        </w:rPr>
        <w:t>（应填写“其中一方的全称”，如：联合体确定以成员一的条件参与商务部分的评标，则填写“成员一的全称”…；否则填写“无”）</w:t>
      </w:r>
      <w:r>
        <w:rPr>
          <w:rFonts w:hint="eastAsia" w:ascii="宋体" w:hAnsi="宋体" w:cs="宋体"/>
          <w:color w:val="auto"/>
          <w:kern w:val="0"/>
          <w:szCs w:val="21"/>
          <w:highlight w:val="none"/>
        </w:rPr>
        <w:t>的条件参与商务部分的评标。</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五、本协议自签署之日起生效，政府采购合同履行完毕后自动失效。</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六、本协议一式</w:t>
      </w:r>
      <w:r>
        <w:rPr>
          <w:rFonts w:hint="eastAsia" w:ascii="宋体" w:hAnsi="宋体" w:cs="宋体"/>
          <w:color w:val="auto"/>
          <w:kern w:val="0"/>
          <w:szCs w:val="21"/>
          <w:highlight w:val="none"/>
          <w:u w:val="single"/>
        </w:rPr>
        <w:t>（填写具体份数）</w:t>
      </w:r>
      <w:r>
        <w:rPr>
          <w:rFonts w:hint="eastAsia" w:ascii="宋体" w:hAnsi="宋体" w:cs="宋体"/>
          <w:color w:val="auto"/>
          <w:kern w:val="0"/>
          <w:szCs w:val="21"/>
          <w:highlight w:val="none"/>
        </w:rPr>
        <w:t>份，联合体各方各执一份，投标文件中提交一份。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（以下无正文）</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牵头方：</w:t>
      </w:r>
      <w:r>
        <w:rPr>
          <w:rFonts w:hint="eastAsia" w:ascii="宋体" w:hAnsi="宋体" w:cs="宋体"/>
          <w:color w:val="auto"/>
          <w:kern w:val="0"/>
          <w:szCs w:val="21"/>
          <w:highlight w:val="none"/>
          <w:u w:val="single"/>
        </w:rPr>
        <w:t>（全称并加盖单位公章）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成员一：</w:t>
      </w:r>
      <w:r>
        <w:rPr>
          <w:rFonts w:hint="eastAsia" w:ascii="宋体" w:hAnsi="宋体" w:cs="宋体"/>
          <w:color w:val="auto"/>
          <w:kern w:val="0"/>
          <w:szCs w:val="21"/>
          <w:highlight w:val="none"/>
          <w:u w:val="single"/>
        </w:rPr>
        <w:t>（全称并加盖成员一的单位公章）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w:t>
      </w:r>
      <w:r>
        <w:rPr>
          <w:rFonts w:hint="eastAsia" w:ascii="宋体" w:hAnsi="宋体" w:cs="宋体"/>
          <w:color w:val="auto"/>
          <w:kern w:val="0"/>
          <w:szCs w:val="21"/>
          <w:highlight w:val="none"/>
          <w:u w:val="single"/>
        </w:rPr>
        <w:t>（全称并加盖成员**的单位公章）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签署日期：</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1、招标文件接受联合体投标且投标人为联合体的，投标人应提供本协议；否则无须提供。</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2、本协议由委托代理人签字或盖章的，应按照本章载明的格式提供“单位授权书”。</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3、在以联合体形式落实中小企业预留份额项目中，投标人除了要提供《中小企业声明函》，还需提供本协议。 </w:t>
      </w: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100" w:beforeAutospacing="1" w:after="100" w:afterAutospacing="1"/>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二-12分包意向协议</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甲方（总包方）：</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（即本项目的投标人）</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乙方（分包方）：</w:t>
      </w:r>
      <w:r>
        <w:rPr>
          <w:rFonts w:hint="eastAsia" w:ascii="宋体" w:hAnsi="宋体" w:cs="宋体"/>
          <w:color w:val="auto"/>
          <w:kern w:val="0"/>
          <w:szCs w:val="21"/>
          <w:highlight w:val="none"/>
          <w:u w:val="single"/>
        </w:rPr>
        <w:t>             </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兹有甲方参加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）的政府采购活动。甲方期望将采购项目的部分采购标的分包给乙方完成，而乙方保证能够向甲方提供本</w:t>
      </w:r>
      <w:r>
        <w:rPr>
          <w:rFonts w:hint="eastAsia" w:ascii="宋体" w:hAnsi="宋体" w:cs="宋体"/>
          <w:color w:val="auto"/>
          <w:kern w:val="0"/>
          <w:sz w:val="24"/>
          <w:highlight w:val="none"/>
        </w:rPr>
        <w:t>协议</w:t>
      </w:r>
      <w:r>
        <w:rPr>
          <w:rFonts w:hint="eastAsia" w:ascii="宋体" w:hAnsi="宋体" w:cs="宋体"/>
          <w:color w:val="auto"/>
          <w:kern w:val="0"/>
          <w:szCs w:val="21"/>
          <w:highlight w:val="none"/>
        </w:rPr>
        <w:t>项下的</w:t>
      </w:r>
      <w:r>
        <w:rPr>
          <w:rFonts w:hint="eastAsia" w:ascii="宋体" w:hAnsi="宋体" w:cs="宋体"/>
          <w:color w:val="auto"/>
          <w:kern w:val="0"/>
          <w:sz w:val="24"/>
          <w:highlight w:val="none"/>
        </w:rPr>
        <w:t>采购标的，甲、乙双方就合同分包的有关事宜达成下列协议：</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一、分包标的</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u w:val="single"/>
        </w:rPr>
        <w:t>（根据双方的意向填写，可以是表格或文字描述）</w:t>
      </w:r>
      <w:r>
        <w:rPr>
          <w:rFonts w:hint="eastAsia" w:ascii="宋体" w:hAnsi="宋体" w:cs="宋体"/>
          <w:color w:val="auto"/>
          <w:kern w:val="0"/>
          <w:szCs w:val="21"/>
          <w:highlight w:val="none"/>
        </w:rPr>
        <w:t>。</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二、分包合同金额占比</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分包合同价占投标总价的比例：　　%</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三、其他条款</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3"/>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 甲方：</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40" w:type="dxa"/>
            <w:gridSpan w:val="2"/>
            <w:tcMar>
              <w:top w:w="0" w:type="dxa"/>
              <w:left w:w="105" w:type="dxa"/>
              <w:bottom w:w="0" w:type="dxa"/>
              <w:right w:w="105" w:type="dxa"/>
            </w:tcMar>
          </w:tcPr>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签订地点：</w:t>
            </w:r>
            <w:r>
              <w:rPr>
                <w:rFonts w:hint="eastAsia" w:ascii="宋体" w:hAnsi="宋体" w:cs="宋体"/>
                <w:color w:val="auto"/>
                <w:kern w:val="0"/>
                <w:szCs w:val="21"/>
                <w:highlight w:val="none"/>
                <w:u w:val="single"/>
              </w:rPr>
              <w:t>                </w:t>
            </w:r>
          </w:p>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签订日期：    年   月   日</w:t>
            </w:r>
          </w:p>
        </w:tc>
      </w:tr>
    </w:tbl>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1.招标文件接受合同分包且投标人拟将合同分包的，应提供本协议；否则无须提供。</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2.本协议由委托代理人签字或盖章的，应按照本章载明的格式提供“单位授权书”。</w:t>
      </w:r>
    </w:p>
    <w:p>
      <w:pPr>
        <w:widowControl/>
        <w:spacing w:line="400" w:lineRule="exact"/>
        <w:ind w:firstLine="43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3.在以合同分包形式落实中小企业预留份额项目中，投标人除了要提供《中小企业声明函》，还需提供本协议。 </w:t>
      </w:r>
    </w:p>
    <w:p>
      <w:pPr>
        <w:pStyle w:val="20"/>
        <w:rPr>
          <w:rFonts w:ascii="宋体" w:hAnsi="宋体" w:cs="宋体"/>
          <w:color w:val="auto"/>
          <w:szCs w:val="21"/>
          <w:highlight w:val="none"/>
        </w:rPr>
      </w:pPr>
    </w:p>
    <w:p>
      <w:pPr>
        <w:rPr>
          <w:rFonts w:ascii="宋体" w:hAnsi="宋体" w:cs="宋体"/>
          <w:b/>
          <w:bCs/>
          <w:color w:val="auto"/>
          <w:kern w:val="0"/>
          <w:szCs w:val="21"/>
          <w:highlight w:val="none"/>
        </w:rPr>
      </w:pPr>
    </w:p>
    <w:p>
      <w:pPr>
        <w:pStyle w:val="20"/>
        <w:rPr>
          <w:rFonts w:ascii="宋体" w:hAnsi="宋体" w:cs="宋体"/>
          <w:color w:val="auto"/>
          <w:highlight w:val="none"/>
        </w:rPr>
      </w:pP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二-13其他资格证明文件（若有）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二</w:t>
      </w:r>
      <w:r>
        <w:rPr>
          <w:rFonts w:hint="eastAsia" w:ascii="宋体" w:hAnsi="宋体" w:cs="宋体"/>
          <w:b/>
          <w:bCs/>
          <w:color w:val="auto"/>
          <w:kern w:val="0"/>
          <w:szCs w:val="21"/>
          <w:highlight w:val="none"/>
        </w:rPr>
        <w:t>-13-①具备履行合同所必需设备和专业技术能力专项证明材料（若有）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9"/>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二-13-②招标文件规定的其他资格证明文件（若有）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三、投标保证金</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1、在此项下提交的</w:t>
      </w:r>
      <w:r>
        <w:rPr>
          <w:rFonts w:hint="eastAsia" w:ascii="宋体" w:hAnsi="宋体" w:cs="宋体"/>
          <w:b/>
          <w:bCs/>
          <w:color w:val="auto"/>
          <w:kern w:val="0"/>
          <w:szCs w:val="21"/>
          <w:highlight w:val="none"/>
        </w:rPr>
        <w:t>“投标保证金”</w:t>
      </w:r>
      <w:r>
        <w:rPr>
          <w:rFonts w:hint="eastAsia" w:ascii="宋体" w:hAnsi="宋体" w:cs="宋体"/>
          <w:color w:val="auto"/>
          <w:kern w:val="0"/>
          <w:szCs w:val="21"/>
          <w:highlight w:val="none"/>
        </w:rPr>
        <w:t>材料可使用转账凭证复印件。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2、投标保证金是否已提交的认定按照招标文件第三章规定执行。</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75" w:after="75"/>
        <w:rPr>
          <w:rFonts w:ascii="宋体" w:hAnsi="宋体" w:cs="宋体"/>
          <w:b/>
          <w:bCs/>
          <w:color w:val="auto"/>
          <w:kern w:val="0"/>
          <w:sz w:val="24"/>
          <w:highlight w:val="none"/>
        </w:rPr>
      </w:pPr>
      <w:r>
        <w:rPr>
          <w:rFonts w:hint="eastAsia" w:ascii="宋体" w:hAnsi="宋体" w:cs="宋体"/>
          <w:b/>
          <w:bCs/>
          <w:color w:val="auto"/>
          <w:kern w:val="0"/>
          <w:sz w:val="24"/>
          <w:highlight w:val="none"/>
        </w:rPr>
        <w:t>封面格式</w:t>
      </w:r>
    </w:p>
    <w:p>
      <w:pPr>
        <w:pStyle w:val="36"/>
        <w:rPr>
          <w:rFonts w:ascii="宋体" w:hAnsi="宋体" w:cs="宋体"/>
          <w:b/>
          <w:bCs/>
          <w:color w:val="auto"/>
          <w:sz w:val="24"/>
          <w:highlight w:val="none"/>
        </w:rPr>
      </w:pPr>
    </w:p>
    <w:p>
      <w:pPr>
        <w:pStyle w:val="8"/>
        <w:rPr>
          <w:rFonts w:ascii="宋体" w:hAnsi="宋体" w:cs="宋体"/>
          <w:color w:val="auto"/>
          <w:highlight w:val="none"/>
        </w:rPr>
      </w:pP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（报价部分）</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pStyle w:val="6"/>
        <w:rPr>
          <w:rFonts w:ascii="宋体" w:hAnsi="宋体" w:cs="宋体"/>
          <w:color w:val="auto"/>
          <w:kern w:val="0"/>
          <w:sz w:val="32"/>
          <w:szCs w:val="32"/>
          <w:highlight w:val="none"/>
        </w:rPr>
      </w:pPr>
    </w:p>
    <w:p>
      <w:pPr>
        <w:rPr>
          <w:rFonts w:ascii="宋体" w:hAnsi="宋体" w:cs="宋体"/>
          <w:color w:val="auto"/>
          <w:highlight w:val="none"/>
        </w:rPr>
      </w:pPr>
    </w:p>
    <w:p>
      <w:pPr>
        <w:rPr>
          <w:rFonts w:ascii="宋体" w:hAnsi="宋体" w:cs="宋体"/>
          <w:color w:val="auto"/>
          <w:highlight w:val="none"/>
        </w:rPr>
      </w:pPr>
    </w:p>
    <w:p>
      <w:pPr>
        <w:rPr>
          <w:rStyle w:val="27"/>
          <w:rFonts w:ascii="宋体" w:hAnsi="宋体" w:cs="宋体"/>
          <w:color w:val="auto"/>
          <w:szCs w:val="21"/>
          <w:highlight w:val="none"/>
        </w:rPr>
      </w:pPr>
      <w:r>
        <w:rPr>
          <w:rStyle w:val="27"/>
          <w:rFonts w:hint="eastAsia" w:ascii="宋体" w:hAnsi="宋体" w:cs="宋体"/>
          <w:color w:val="auto"/>
          <w:szCs w:val="21"/>
          <w:highlight w:val="none"/>
        </w:rPr>
        <w:br w:type="page"/>
      </w:r>
    </w:p>
    <w:p>
      <w:pPr>
        <w:pStyle w:val="19"/>
        <w:widowControl/>
        <w:jc w:val="center"/>
        <w:rPr>
          <w:rFonts w:ascii="宋体" w:hAnsi="宋体" w:cs="宋体"/>
          <w:color w:val="auto"/>
          <w:highlight w:val="none"/>
        </w:rPr>
      </w:pPr>
      <w:r>
        <w:rPr>
          <w:rStyle w:val="27"/>
          <w:rFonts w:hint="eastAsia" w:ascii="宋体" w:hAnsi="宋体" w:cs="宋体"/>
          <w:color w:val="auto"/>
          <w:sz w:val="21"/>
          <w:szCs w:val="21"/>
          <w:highlight w:val="none"/>
        </w:rPr>
        <w:t>一、开标一览表</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19"/>
        <w:widowControl/>
        <w:jc w:val="right"/>
        <w:rPr>
          <w:rFonts w:ascii="宋体" w:hAnsi="宋体" w:cs="宋体"/>
          <w:color w:val="auto"/>
          <w:sz w:val="21"/>
          <w:szCs w:val="21"/>
          <w:highlight w:val="none"/>
        </w:rPr>
      </w:pPr>
      <w:r>
        <w:rPr>
          <w:rFonts w:hint="eastAsia" w:ascii="宋体" w:hAnsi="宋体" w:cs="宋体"/>
          <w:color w:val="auto"/>
          <w:sz w:val="21"/>
          <w:szCs w:val="21"/>
          <w:highlight w:val="none"/>
        </w:rPr>
        <w:t>货币及单位：人民币元</w:t>
      </w:r>
    </w:p>
    <w:tbl>
      <w:tblPr>
        <w:tblStyle w:val="23"/>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trPr>
        <w:tc>
          <w:tcPr>
            <w:tcW w:w="583" w:type="dxa"/>
            <w:noWrap/>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合同包</w:t>
            </w:r>
          </w:p>
        </w:tc>
        <w:tc>
          <w:tcPr>
            <w:tcW w:w="1558"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200"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730"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投标报价总价</w:t>
            </w:r>
          </w:p>
        </w:tc>
        <w:tc>
          <w:tcPr>
            <w:tcW w:w="854"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地点</w:t>
            </w:r>
          </w:p>
        </w:tc>
        <w:tc>
          <w:tcPr>
            <w:tcW w:w="935"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时间</w:t>
            </w:r>
          </w:p>
        </w:tc>
        <w:tc>
          <w:tcPr>
            <w:tcW w:w="1188"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1004" w:type="dxa"/>
            <w:noWrap/>
            <w:vAlign w:val="center"/>
          </w:tcPr>
          <w:p>
            <w:pPr>
              <w:pStyle w:val="19"/>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583" w:type="dxa"/>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58" w:type="dxa"/>
            <w:noWrap/>
            <w:vAlign w:val="center"/>
          </w:tcPr>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sz w:val="21"/>
                <w:szCs w:val="21"/>
                <w:highlight w:val="none"/>
              </w:rPr>
            </w:pPr>
          </w:p>
        </w:tc>
        <w:tc>
          <w:tcPr>
            <w:tcW w:w="1200" w:type="dxa"/>
            <w:noWrap/>
            <w:vAlign w:val="center"/>
          </w:tcPr>
          <w:p>
            <w:pPr>
              <w:pStyle w:val="19"/>
              <w:widowControl/>
              <w:jc w:val="center"/>
              <w:rPr>
                <w:rFonts w:ascii="宋体" w:hAnsi="宋体" w:cs="宋体"/>
                <w:color w:val="auto"/>
                <w:sz w:val="21"/>
                <w:szCs w:val="21"/>
                <w:highlight w:val="none"/>
              </w:rPr>
            </w:pPr>
          </w:p>
        </w:tc>
        <w:tc>
          <w:tcPr>
            <w:tcW w:w="1730" w:type="dxa"/>
            <w:noWrap/>
            <w:vAlign w:val="center"/>
          </w:tcPr>
          <w:p>
            <w:pPr>
              <w:pStyle w:val="19"/>
              <w:widowControl/>
              <w:jc w:val="center"/>
              <w:rPr>
                <w:rFonts w:ascii="宋体" w:hAnsi="宋体" w:cs="宋体"/>
                <w:color w:val="auto"/>
                <w:sz w:val="21"/>
                <w:szCs w:val="21"/>
                <w:highlight w:val="none"/>
              </w:rPr>
            </w:pPr>
          </w:p>
        </w:tc>
        <w:tc>
          <w:tcPr>
            <w:tcW w:w="854" w:type="dxa"/>
            <w:noWrap/>
            <w:vAlign w:val="center"/>
          </w:tcPr>
          <w:p>
            <w:pPr>
              <w:pStyle w:val="19"/>
              <w:widowControl/>
              <w:jc w:val="center"/>
              <w:rPr>
                <w:rFonts w:ascii="宋体" w:hAnsi="宋体" w:cs="宋体"/>
                <w:color w:val="auto"/>
                <w:sz w:val="21"/>
                <w:szCs w:val="21"/>
                <w:highlight w:val="none"/>
              </w:rPr>
            </w:pPr>
          </w:p>
        </w:tc>
        <w:tc>
          <w:tcPr>
            <w:tcW w:w="935" w:type="dxa"/>
            <w:noWrap/>
            <w:vAlign w:val="center"/>
          </w:tcPr>
          <w:p>
            <w:pPr>
              <w:pStyle w:val="19"/>
              <w:widowControl/>
              <w:jc w:val="center"/>
              <w:rPr>
                <w:rFonts w:ascii="宋体" w:hAnsi="宋体" w:cs="宋体"/>
                <w:color w:val="auto"/>
                <w:sz w:val="21"/>
                <w:szCs w:val="21"/>
                <w:highlight w:val="none"/>
              </w:rPr>
            </w:pPr>
          </w:p>
        </w:tc>
        <w:tc>
          <w:tcPr>
            <w:tcW w:w="1188" w:type="dxa"/>
            <w:noWrap/>
            <w:vAlign w:val="center"/>
          </w:tcPr>
          <w:p>
            <w:pPr>
              <w:pStyle w:val="19"/>
              <w:widowControl/>
              <w:jc w:val="center"/>
              <w:rPr>
                <w:rFonts w:ascii="宋体" w:hAnsi="宋体" w:cs="宋体"/>
                <w:color w:val="auto"/>
                <w:sz w:val="21"/>
                <w:szCs w:val="21"/>
                <w:highlight w:val="none"/>
              </w:rPr>
            </w:pPr>
          </w:p>
        </w:tc>
        <w:tc>
          <w:tcPr>
            <w:tcW w:w="1004" w:type="dxa"/>
            <w:noWrap/>
            <w:vAlign w:val="center"/>
          </w:tcPr>
          <w:p>
            <w:pPr>
              <w:pStyle w:val="19"/>
              <w:widowControl/>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bl>
    <w:p>
      <w:pPr>
        <w:pStyle w:val="19"/>
        <w:widowControl/>
        <w:jc w:val="right"/>
        <w:rPr>
          <w:rFonts w:ascii="宋体" w:hAnsi="宋体" w:cs="宋体"/>
          <w:color w:val="auto"/>
          <w:sz w:val="21"/>
          <w:szCs w:val="21"/>
          <w:highlight w:val="none"/>
        </w:rPr>
      </w:pPr>
    </w:p>
    <w:p>
      <w:pPr>
        <w:pStyle w:val="19"/>
        <w:widowControl/>
        <w:rPr>
          <w:rFonts w:ascii="宋体" w:hAnsi="宋体" w:cs="宋体"/>
          <w:color w:val="auto"/>
          <w:highlight w:val="none"/>
        </w:rPr>
      </w:pPr>
      <w:r>
        <w:rPr>
          <w:rFonts w:hint="eastAsia" w:ascii="宋体" w:hAnsi="宋体" w:cs="宋体"/>
          <w:color w:val="auto"/>
          <w:sz w:val="21"/>
          <w:szCs w:val="21"/>
          <w:highlight w:val="none"/>
        </w:rPr>
        <w:t>★注意：</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1、本表应按照下列规定填写：</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1.1投标人应按照本表格式填写所投的合同包的“投标报价”。</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1.2本表中列示的“合同包”应与《投标分项报价表》中列示的“合同包”保持一致，即：若本表中列示的“合同包”为“1”时，《投标分项报价表》中列示的“合同包”亦应为“1”，以此类推。</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1.3“大写金额”指“投标报价”应用“壹、贰、叁、肆、伍、陆、柒、捌、玖、拾、佰、仟、万、亿、元、角、分、零”等进行填写。</w:t>
      </w:r>
    </w:p>
    <w:p>
      <w:pPr>
        <w:pStyle w:val="19"/>
        <w:widowControl/>
        <w:rPr>
          <w:rFonts w:ascii="宋体" w:hAnsi="宋体" w:cs="宋体"/>
          <w:color w:val="auto"/>
          <w:highlight w:val="none"/>
        </w:rPr>
      </w:pP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Style w:val="27"/>
          <w:rFonts w:ascii="宋体" w:hAnsi="宋体" w:cs="宋体"/>
          <w:color w:val="auto"/>
          <w:sz w:val="21"/>
          <w:szCs w:val="21"/>
          <w:highlight w:val="none"/>
        </w:rPr>
      </w:pPr>
    </w:p>
    <w:p>
      <w:pPr>
        <w:pStyle w:val="19"/>
        <w:widowControl/>
        <w:jc w:val="center"/>
        <w:rPr>
          <w:rFonts w:ascii="宋体" w:hAnsi="宋体" w:cs="宋体"/>
          <w:color w:val="auto"/>
          <w:highlight w:val="none"/>
        </w:rPr>
      </w:pPr>
      <w:r>
        <w:rPr>
          <w:rStyle w:val="27"/>
          <w:rFonts w:hint="eastAsia" w:ascii="宋体" w:hAnsi="宋体" w:cs="宋体"/>
          <w:color w:val="auto"/>
          <w:sz w:val="21"/>
          <w:szCs w:val="21"/>
          <w:highlight w:val="none"/>
        </w:rPr>
        <w:t>二、投标分项报价表</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p>
      <w:pPr>
        <w:pStyle w:val="19"/>
        <w:widowControl/>
        <w:spacing w:line="340" w:lineRule="exact"/>
        <w:jc w:val="right"/>
        <w:rPr>
          <w:rFonts w:ascii="宋体" w:hAnsi="宋体" w:cs="宋体"/>
          <w:color w:val="auto"/>
          <w:highlight w:val="none"/>
        </w:rPr>
      </w:pPr>
      <w:r>
        <w:rPr>
          <w:rFonts w:hint="eastAsia" w:ascii="宋体" w:hAnsi="宋体" w:cs="宋体"/>
          <w:color w:val="auto"/>
          <w:sz w:val="21"/>
          <w:szCs w:val="21"/>
          <w:highlight w:val="none"/>
        </w:rPr>
        <w:t>货币及单位：人民币元</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926"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1468"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投标标的</w:t>
            </w:r>
          </w:p>
        </w:tc>
        <w:tc>
          <w:tcPr>
            <w:tcW w:w="1206"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规格</w:t>
            </w:r>
          </w:p>
        </w:tc>
        <w:tc>
          <w:tcPr>
            <w:tcW w:w="821"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来源地</w:t>
            </w:r>
          </w:p>
        </w:tc>
        <w:tc>
          <w:tcPr>
            <w:tcW w:w="962"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单价</w:t>
            </w:r>
          </w:p>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559"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数量</w:t>
            </w:r>
          </w:p>
        </w:tc>
        <w:tc>
          <w:tcPr>
            <w:tcW w:w="1058"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总价</w:t>
            </w:r>
          </w:p>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780"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p>
            <w:pPr>
              <w:spacing w:line="340" w:lineRule="exact"/>
              <w:rPr>
                <w:rFonts w:ascii="宋体" w:hAnsi="宋体" w:cs="宋体"/>
                <w:color w:val="auto"/>
                <w:highlight w:val="none"/>
              </w:rPr>
            </w:pPr>
          </w:p>
          <w:p>
            <w:pPr>
              <w:pStyle w:val="36"/>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vAlign w:val="center"/>
          </w:tcPr>
          <w:p>
            <w:pPr>
              <w:pStyle w:val="19"/>
              <w:widowControl/>
              <w:spacing w:line="340" w:lineRule="exact"/>
              <w:rPr>
                <w:rFonts w:ascii="宋体" w:hAnsi="宋体" w:cs="宋体"/>
                <w:color w:val="auto"/>
                <w:sz w:val="21"/>
                <w:szCs w:val="21"/>
                <w:highlight w:val="none"/>
              </w:rPr>
            </w:pPr>
          </w:p>
        </w:tc>
        <w:tc>
          <w:tcPr>
            <w:tcW w:w="1206"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821"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962"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559"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1058"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780"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926"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6"/>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9"/>
              <w:widowControl/>
              <w:spacing w:line="340" w:lineRule="exact"/>
              <w:jc w:val="center"/>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r>
              <w:rPr>
                <w:rFonts w:hint="eastAsia" w:ascii="宋体" w:hAnsi="宋体" w:cs="宋体"/>
                <w:color w:val="auto"/>
                <w:highlight w:val="none"/>
              </w:rPr>
              <w:t>合计</w:t>
            </w: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bl>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★注意：</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1.2“投标标的”为货物的：</w:t>
      </w:r>
      <w:r>
        <w:rPr>
          <w:rStyle w:val="27"/>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1.3“投标标的”为服务的：</w:t>
      </w:r>
      <w:r>
        <w:rPr>
          <w:rStyle w:val="27"/>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7"/>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pPr>
        <w:pStyle w:val="19"/>
        <w:widowControl/>
        <w:spacing w:line="340" w:lineRule="exact"/>
        <w:rPr>
          <w:rFonts w:ascii="宋体" w:hAnsi="宋体" w:cs="宋体"/>
          <w:color w:val="auto"/>
          <w:highlight w:val="none"/>
        </w:rPr>
      </w:pPr>
      <w:r>
        <w:rPr>
          <w:rFonts w:hint="eastAsia" w:ascii="宋体" w:hAnsi="宋体" w:cs="宋体"/>
          <w:color w:val="auto"/>
          <w:sz w:val="21"/>
          <w:szCs w:val="21"/>
          <w:highlight w:val="none"/>
        </w:rPr>
        <w:t>1.4同一合同包中，</w:t>
      </w:r>
      <w:r>
        <w:rPr>
          <w:rStyle w:val="27"/>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27"/>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27"/>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27"/>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的合计金额应与《开标一览表》中相应合同包列示的</w:t>
      </w:r>
      <w:r>
        <w:rPr>
          <w:rStyle w:val="27"/>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pPr>
        <w:pStyle w:val="19"/>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27"/>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pPr>
        <w:pStyle w:val="19"/>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2、纸质投标文件正本中的本表应为原件。</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三、招标文件规定的价格扣除证明材料（若有）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三-1优先类节能产品、环境标志产品价格扣除证明材料（若有）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三-1-①优先类节能产品、环境标志产品统计表（价格扣除适用，若有）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1、对节能、环境标志产品计算价格扣除时，只依据投标文件</w:t>
      </w:r>
      <w:r>
        <w:rPr>
          <w:rFonts w:hint="eastAsia" w:ascii="宋体" w:hAnsi="宋体" w:cs="宋体"/>
          <w:b/>
          <w:bCs/>
          <w:color w:val="auto"/>
          <w:kern w:val="0"/>
          <w:szCs w:val="21"/>
          <w:highlight w:val="none"/>
        </w:rPr>
        <w:t>“三-1-②优先类节能产品、环境标志产品证明材料（价格扣除适用，若有）”。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三-2小型、微型企业产品等价格扣除证明材料（若有）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 w:val="24"/>
          <w:highlight w:val="none"/>
        </w:rPr>
        <w:t>三-2-①中小企业声明函（价格扣除适用，若有）</w:t>
      </w:r>
    </w:p>
    <w:p>
      <w:pPr>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行业；制造商为（企业名称），从业人员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 属于</w:t>
      </w:r>
      <w:r>
        <w:rPr>
          <w:rFonts w:hint="eastAsia" w:ascii="宋体" w:hAnsi="宋体" w:cs="宋体"/>
          <w:color w:val="auto"/>
          <w:kern w:val="0"/>
          <w:szCs w:val="21"/>
          <w:highlight w:val="none"/>
          <w:u w:val="single"/>
        </w:rPr>
        <w:t> （采购文件中明确的所属行业 ）</w:t>
      </w:r>
      <w:r>
        <w:rPr>
          <w:rFonts w:hint="eastAsia" w:ascii="宋体" w:hAnsi="宋体" w:cs="宋体"/>
          <w:color w:val="auto"/>
          <w:kern w:val="0"/>
          <w:sz w:val="24"/>
          <w:highlight w:val="none"/>
        </w:rPr>
        <w:t>行业；制造商为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Cs w:val="21"/>
          <w:highlight w:val="none"/>
        </w:rPr>
        <w:t>日期：</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中小企业声明函（工程、服务</w:t>
      </w:r>
      <w:r>
        <w:rPr>
          <w:rFonts w:hint="eastAsia" w:ascii="宋体" w:hAnsi="宋体" w:cs="宋体"/>
          <w:b/>
          <w:bCs/>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w:t>
      </w:r>
      <w:r>
        <w:rPr>
          <w:rFonts w:hint="eastAsia" w:ascii="宋体" w:hAnsi="宋体" w:cs="宋体"/>
          <w:b/>
          <w:bCs/>
          <w:color w:val="auto"/>
          <w:kern w:val="0"/>
          <w:sz w:val="24"/>
          <w:highlight w:val="none"/>
        </w:rPr>
        <w:t>②</w:t>
      </w:r>
      <w:r>
        <w:rPr>
          <w:rFonts w:hint="eastAsia" w:ascii="宋体" w:hAnsi="宋体" w:cs="宋体"/>
          <w:b/>
          <w:bCs/>
          <w:color w:val="auto"/>
          <w:kern w:val="0"/>
          <w:szCs w:val="21"/>
          <w:highlight w:val="none"/>
        </w:rPr>
        <w:t>小型、微型企业等证明材料（价格扣除适用，若有）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2"/>
        <w:ind w:left="420" w:firstLine="480"/>
        <w:rPr>
          <w:rFonts w:ascii="宋体" w:hAnsi="宋体" w:cs="宋体"/>
          <w:color w:val="auto"/>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附：</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残疾人福利性单位声明函（价格扣除适用，若有）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Cs w:val="21"/>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货物（不包括使用非残疾人福利性单位注册商标的货物）。（说明：只有部分货物由残疾人福利企业制造的，在该货物后标</w:t>
      </w:r>
      <w:r>
        <w:rPr>
          <w:rFonts w:hint="eastAsia" w:ascii="宋体" w:hAnsi="宋体" w:cs="宋体"/>
          <w:color w:val="auto"/>
          <w:kern w:val="0"/>
          <w:sz w:val="24"/>
          <w:highlight w:val="none"/>
        </w:rPr>
        <w:t>★</w:t>
      </w:r>
      <w:r>
        <w:rPr>
          <w:rFonts w:hint="eastAsia"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）由本投标人承建的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）由本投标人承接的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2、若《残疾人福利性单位声明函》内容不真实，</w:t>
      </w:r>
      <w:r>
        <w:rPr>
          <w:rFonts w:hint="eastAsia" w:ascii="宋体" w:hAnsi="宋体" w:cs="宋体"/>
          <w:b/>
          <w:bCs/>
          <w:color w:val="auto"/>
          <w:kern w:val="0"/>
          <w:szCs w:val="21"/>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ind w:firstLine="420"/>
        <w:jc w:val="left"/>
        <w:rPr>
          <w:rFonts w:ascii="宋体" w:hAnsi="宋体" w:cs="宋体"/>
          <w:color w:val="auto"/>
          <w:kern w:val="0"/>
          <w:sz w:val="24"/>
          <w:highlight w:val="none"/>
        </w:rPr>
      </w:pPr>
    </w:p>
    <w:p>
      <w:pPr>
        <w:widowControl/>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br w:type="textWrapping"/>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三-3招标文件规定的其他价格扣除证明材料（若有）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“节能（非强制类）、环境标志产品价格扣除”及“小型、微型企业产品等价格扣除”</w:t>
      </w:r>
      <w:r>
        <w:rPr>
          <w:rFonts w:hint="eastAsia" w:ascii="宋体" w:hAnsi="宋体" w:cs="宋体"/>
          <w:color w:val="auto"/>
          <w:kern w:val="0"/>
          <w:szCs w:val="21"/>
          <w:highlight w:val="none"/>
        </w:rPr>
        <w:t>外的其他价格扣除优惠，则投标人应按照招标文件要求提供相应证明材料。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四、招标文件规定的加分证明材料（若有）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四-1优先类节能产品、环境标志产品加分证明材料（若有）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四-1-①优先类节能产品、环境标志产品统计表（加分适用，若有）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1、对节能、环境标志产品计算加分时，只依据投标文件</w:t>
      </w:r>
      <w:r>
        <w:rPr>
          <w:rFonts w:hint="eastAsia" w:ascii="宋体" w:hAnsi="宋体" w:cs="宋体"/>
          <w:b/>
          <w:bCs/>
          <w:color w:val="auto"/>
          <w:kern w:val="0"/>
          <w:szCs w:val="21"/>
          <w:highlight w:val="none"/>
        </w:rPr>
        <w:t>“四-1-②优先类节能产品、环境标志产品加分证明材料（加分适用，若有）”。</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 若节能、环境标志产品仅是构成投标产品的部件、组件或零件，则该投标产品不享受鼓励优惠政策。同一品目中各认证证书不重复计算加分。强制类节能产品不享受加分。</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r>
        <w:rPr>
          <w:rFonts w:hint="eastAsia" w:ascii="宋体" w:hAnsi="宋体" w:cs="宋体"/>
          <w:color w:val="auto"/>
          <w:kern w:val="0"/>
          <w:szCs w:val="21"/>
          <w:highlight w:val="none"/>
        </w:rPr>
        <w:t>。</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rPr>
          <w:rFonts w:ascii="宋体" w:hAnsi="宋体" w:cs="宋体"/>
          <w:b/>
          <w:bCs/>
          <w:color w:val="auto"/>
          <w:kern w:val="0"/>
          <w:szCs w:val="21"/>
          <w:highlight w:val="none"/>
        </w:rPr>
      </w:pPr>
    </w:p>
    <w:p>
      <w:pPr>
        <w:pStyle w:val="22"/>
        <w:ind w:left="420" w:firstLine="480"/>
        <w:rPr>
          <w:rFonts w:ascii="宋体" w:hAnsi="宋体" w:cs="宋体"/>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四-1-②优先类节能产品、环境标志产品证明材料（加分适用，若有）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四</w:t>
      </w:r>
      <w:r>
        <w:rPr>
          <w:rFonts w:hint="eastAsia" w:ascii="宋体" w:hAnsi="宋体" w:cs="宋体"/>
          <w:b/>
          <w:bCs/>
          <w:color w:val="auto"/>
          <w:kern w:val="0"/>
          <w:szCs w:val="21"/>
          <w:highlight w:val="none"/>
        </w:rPr>
        <w:t>-2招标文件规定的其他加分证明材料（若有）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“优先类节能产品、环境标志产品加分”</w:t>
      </w:r>
      <w:r>
        <w:rPr>
          <w:rFonts w:hint="eastAsia" w:ascii="宋体" w:hAnsi="宋体" w:cs="宋体"/>
          <w:color w:val="auto"/>
          <w:kern w:val="0"/>
          <w:szCs w:val="21"/>
          <w:highlight w:val="none"/>
        </w:rPr>
        <w:t>外的其他加分优惠，则投标人应按照招标文件要求提供相应证明材料。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9"/>
        <w:widowControl/>
        <w:rPr>
          <w:rFonts w:ascii="宋体" w:hAnsi="宋体" w:cs="宋体"/>
          <w:color w:val="auto"/>
          <w:sz w:val="21"/>
          <w:szCs w:val="21"/>
          <w:highlight w:val="none"/>
        </w:rPr>
      </w:pP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jc w:val="center"/>
        <w:rPr>
          <w:rFonts w:ascii="宋体" w:hAnsi="宋体" w:cs="宋体"/>
          <w:color w:val="auto"/>
          <w:highlight w:val="none"/>
        </w:rPr>
      </w:pPr>
      <w:r>
        <w:rPr>
          <w:rStyle w:val="27"/>
          <w:rFonts w:hint="eastAsia" w:ascii="宋体" w:hAnsi="宋体" w:cs="宋体"/>
          <w:color w:val="auto"/>
          <w:sz w:val="28"/>
          <w:szCs w:val="28"/>
          <w:highlight w:val="none"/>
        </w:rPr>
        <w:t>封面格式</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jc w:val="center"/>
        <w:rPr>
          <w:rFonts w:ascii="宋体" w:hAnsi="宋体" w:cs="宋体"/>
          <w:color w:val="auto"/>
          <w:highlight w:val="none"/>
        </w:rPr>
      </w:pPr>
      <w:r>
        <w:rPr>
          <w:rStyle w:val="27"/>
          <w:rFonts w:hint="eastAsia" w:ascii="宋体" w:hAnsi="宋体" w:cs="宋体"/>
          <w:color w:val="auto"/>
          <w:sz w:val="48"/>
          <w:szCs w:val="48"/>
          <w:highlight w:val="none"/>
        </w:rPr>
        <w:t>福建省政府采购投标文件</w:t>
      </w:r>
    </w:p>
    <w:p>
      <w:pPr>
        <w:pStyle w:val="19"/>
        <w:widowControl/>
        <w:jc w:val="center"/>
        <w:rPr>
          <w:rFonts w:ascii="宋体" w:hAnsi="宋体" w:cs="宋体"/>
          <w:color w:val="auto"/>
          <w:highlight w:val="none"/>
        </w:rPr>
      </w:pPr>
      <w:r>
        <w:rPr>
          <w:rStyle w:val="27"/>
          <w:rFonts w:hint="eastAsia" w:ascii="宋体" w:hAnsi="宋体" w:cs="宋体"/>
          <w:color w:val="auto"/>
          <w:sz w:val="48"/>
          <w:szCs w:val="48"/>
          <w:highlight w:val="none"/>
        </w:rPr>
        <w:t>（技术商务部分）</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jc w:val="center"/>
        <w:rPr>
          <w:rFonts w:ascii="宋体" w:hAnsi="宋体" w:cs="宋体"/>
          <w:color w:val="auto"/>
          <w:highlight w:val="none"/>
        </w:rPr>
      </w:pPr>
      <w:r>
        <w:rPr>
          <w:rStyle w:val="27"/>
          <w:rFonts w:hint="eastAsia" w:ascii="宋体" w:hAnsi="宋体" w:cs="宋体"/>
          <w:color w:val="auto"/>
          <w:sz w:val="36"/>
          <w:szCs w:val="36"/>
          <w:highlight w:val="none"/>
          <w:u w:val="single"/>
        </w:rPr>
        <w:t>（填写正本或副本）</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ind w:firstLine="1920"/>
        <w:rPr>
          <w:rFonts w:ascii="宋体" w:hAnsi="宋体" w:cs="宋体"/>
          <w:color w:val="auto"/>
          <w:highlight w:val="none"/>
        </w:rPr>
      </w:pPr>
      <w:r>
        <w:rPr>
          <w:rStyle w:val="27"/>
          <w:rFonts w:hint="eastAsia" w:ascii="宋体" w:hAnsi="宋体" w:cs="宋体"/>
          <w:color w:val="auto"/>
          <w:sz w:val="31"/>
          <w:szCs w:val="31"/>
          <w:highlight w:val="none"/>
        </w:rPr>
        <w:t>项目名称：</w:t>
      </w:r>
      <w:r>
        <w:rPr>
          <w:rStyle w:val="27"/>
          <w:rFonts w:hint="eastAsia" w:ascii="宋体" w:hAnsi="宋体" w:cs="宋体"/>
          <w:color w:val="auto"/>
          <w:sz w:val="31"/>
          <w:szCs w:val="31"/>
          <w:highlight w:val="none"/>
          <w:u w:val="single"/>
        </w:rPr>
        <w:t>（由投标人填写）</w:t>
      </w:r>
    </w:p>
    <w:p>
      <w:pPr>
        <w:pStyle w:val="19"/>
        <w:widowControl/>
        <w:ind w:firstLine="1920"/>
        <w:rPr>
          <w:rFonts w:ascii="宋体" w:hAnsi="宋体" w:cs="宋体"/>
          <w:color w:val="auto"/>
          <w:highlight w:val="none"/>
        </w:rPr>
      </w:pPr>
      <w:r>
        <w:rPr>
          <w:rStyle w:val="27"/>
          <w:rFonts w:hint="eastAsia" w:ascii="宋体" w:hAnsi="宋体" w:cs="宋体"/>
          <w:color w:val="auto"/>
          <w:sz w:val="31"/>
          <w:szCs w:val="31"/>
          <w:highlight w:val="none"/>
        </w:rPr>
        <w:t>项目编号：</w:t>
      </w:r>
      <w:r>
        <w:rPr>
          <w:rStyle w:val="27"/>
          <w:rFonts w:hint="eastAsia" w:ascii="宋体" w:hAnsi="宋体" w:cs="宋体"/>
          <w:color w:val="auto"/>
          <w:sz w:val="31"/>
          <w:szCs w:val="31"/>
          <w:highlight w:val="none"/>
          <w:u w:val="single"/>
        </w:rPr>
        <w:t>（由投标人填写）</w:t>
      </w:r>
    </w:p>
    <w:p>
      <w:pPr>
        <w:pStyle w:val="19"/>
        <w:widowControl/>
        <w:ind w:firstLine="1920"/>
        <w:rPr>
          <w:rFonts w:ascii="宋体" w:hAnsi="宋体" w:cs="宋体"/>
          <w:color w:val="auto"/>
          <w:highlight w:val="none"/>
        </w:rPr>
      </w:pPr>
      <w:r>
        <w:rPr>
          <w:rStyle w:val="27"/>
          <w:rFonts w:hint="eastAsia" w:ascii="宋体" w:hAnsi="宋体" w:cs="宋体"/>
          <w:color w:val="auto"/>
          <w:sz w:val="31"/>
          <w:szCs w:val="31"/>
          <w:highlight w:val="none"/>
        </w:rPr>
        <w:t>所投合同包：</w:t>
      </w:r>
      <w:r>
        <w:rPr>
          <w:rStyle w:val="27"/>
          <w:rFonts w:hint="eastAsia" w:ascii="宋体" w:hAnsi="宋体" w:cs="宋体"/>
          <w:color w:val="auto"/>
          <w:sz w:val="31"/>
          <w:szCs w:val="31"/>
          <w:highlight w:val="none"/>
          <w:u w:val="single"/>
        </w:rPr>
        <w:t>（由投标人填写）</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rPr>
          <w:rFonts w:ascii="宋体" w:hAnsi="宋体" w:cs="宋体"/>
          <w:color w:val="auto"/>
          <w:highlight w:val="none"/>
        </w:rPr>
      </w:pPr>
      <w:r>
        <w:rPr>
          <w:rFonts w:hint="eastAsia" w:ascii="宋体" w:hAnsi="宋体" w:cs="宋体"/>
          <w:color w:val="auto"/>
          <w:sz w:val="36"/>
          <w:szCs w:val="36"/>
          <w:highlight w:val="none"/>
        </w:rPr>
        <w:t> </w:t>
      </w:r>
    </w:p>
    <w:p>
      <w:pPr>
        <w:pStyle w:val="19"/>
        <w:widowControl/>
        <w:jc w:val="center"/>
        <w:rPr>
          <w:rFonts w:ascii="宋体" w:hAnsi="宋体" w:cs="宋体"/>
          <w:color w:val="auto"/>
          <w:highlight w:val="none"/>
        </w:rPr>
      </w:pPr>
      <w:r>
        <w:rPr>
          <w:rStyle w:val="27"/>
          <w:rFonts w:hint="eastAsia" w:ascii="宋体" w:hAnsi="宋体" w:cs="宋体"/>
          <w:color w:val="auto"/>
          <w:sz w:val="31"/>
          <w:szCs w:val="31"/>
          <w:highlight w:val="none"/>
        </w:rPr>
        <w:t>投标人：</w:t>
      </w:r>
      <w:r>
        <w:rPr>
          <w:rStyle w:val="27"/>
          <w:rFonts w:hint="eastAsia" w:ascii="宋体" w:hAnsi="宋体" w:cs="宋体"/>
          <w:color w:val="auto"/>
          <w:sz w:val="31"/>
          <w:szCs w:val="31"/>
          <w:highlight w:val="none"/>
          <w:u w:val="single"/>
        </w:rPr>
        <w:t>（填写“全称”）</w:t>
      </w:r>
    </w:p>
    <w:p>
      <w:pPr>
        <w:pStyle w:val="19"/>
        <w:widowControl/>
        <w:jc w:val="center"/>
        <w:rPr>
          <w:rFonts w:ascii="宋体" w:hAnsi="宋体" w:cs="宋体"/>
          <w:color w:val="auto"/>
          <w:highlight w:val="none"/>
        </w:rPr>
      </w:pP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年</w:t>
      </w:r>
      <w:r>
        <w:rPr>
          <w:rStyle w:val="27"/>
          <w:rFonts w:hint="eastAsia" w:ascii="宋体" w:hAnsi="宋体" w:cs="宋体"/>
          <w:color w:val="auto"/>
          <w:sz w:val="31"/>
          <w:szCs w:val="31"/>
          <w:highlight w:val="none"/>
          <w:u w:val="single"/>
        </w:rPr>
        <w:t>（由投标人填写）</w:t>
      </w:r>
      <w:r>
        <w:rPr>
          <w:rStyle w:val="27"/>
          <w:rFonts w:hint="eastAsia" w:ascii="宋体" w:hAnsi="宋体" w:cs="宋体"/>
          <w:color w:val="auto"/>
          <w:sz w:val="31"/>
          <w:szCs w:val="31"/>
          <w:highlight w:val="none"/>
        </w:rPr>
        <w:t>月</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7"/>
          <w:rFonts w:hint="eastAsia" w:ascii="宋体" w:hAnsi="宋体" w:cs="宋体"/>
          <w:color w:val="auto"/>
          <w:sz w:val="28"/>
          <w:szCs w:val="28"/>
          <w:highlight w:val="none"/>
        </w:rPr>
        <w:t>索引</w:t>
      </w:r>
    </w:p>
    <w:p>
      <w:pPr>
        <w:pStyle w:val="19"/>
        <w:widowControl/>
        <w:rPr>
          <w:rFonts w:ascii="宋体" w:hAnsi="宋体" w:cs="宋体"/>
          <w:color w:val="auto"/>
          <w:sz w:val="21"/>
          <w:szCs w:val="21"/>
          <w:highlight w:val="none"/>
        </w:rPr>
      </w:pPr>
      <w:r>
        <w:rPr>
          <w:rFonts w:hint="eastAsia" w:ascii="宋体" w:hAnsi="宋体" w:cs="宋体"/>
          <w:color w:val="auto"/>
          <w:sz w:val="22"/>
          <w:szCs w:val="22"/>
          <w:highlight w:val="none"/>
        </w:rPr>
        <w:t>一、标的说明一览表</w:t>
      </w:r>
    </w:p>
    <w:p>
      <w:pPr>
        <w:pStyle w:val="19"/>
        <w:widowControl/>
        <w:rPr>
          <w:rFonts w:ascii="宋体" w:hAnsi="宋体" w:cs="宋体"/>
          <w:color w:val="auto"/>
          <w:sz w:val="21"/>
          <w:szCs w:val="21"/>
          <w:highlight w:val="none"/>
        </w:rPr>
      </w:pPr>
      <w:r>
        <w:rPr>
          <w:rFonts w:hint="eastAsia" w:ascii="宋体" w:hAnsi="宋体" w:cs="宋体"/>
          <w:color w:val="auto"/>
          <w:sz w:val="22"/>
          <w:szCs w:val="22"/>
          <w:highlight w:val="none"/>
        </w:rPr>
        <w:t>二、技术和服务要求响应表</w:t>
      </w:r>
    </w:p>
    <w:p>
      <w:pPr>
        <w:pStyle w:val="19"/>
        <w:widowControl/>
        <w:rPr>
          <w:rFonts w:ascii="宋体" w:hAnsi="宋体" w:cs="宋体"/>
          <w:color w:val="auto"/>
          <w:sz w:val="21"/>
          <w:szCs w:val="21"/>
          <w:highlight w:val="none"/>
        </w:rPr>
      </w:pPr>
      <w:r>
        <w:rPr>
          <w:rFonts w:hint="eastAsia" w:ascii="宋体" w:hAnsi="宋体" w:cs="宋体"/>
          <w:color w:val="auto"/>
          <w:sz w:val="22"/>
          <w:szCs w:val="22"/>
          <w:highlight w:val="none"/>
        </w:rPr>
        <w:t>三、商务条件响应表</w:t>
      </w:r>
    </w:p>
    <w:p>
      <w:pPr>
        <w:pStyle w:val="19"/>
        <w:widowControl/>
        <w:rPr>
          <w:rFonts w:ascii="宋体" w:hAnsi="宋体" w:cs="宋体"/>
          <w:color w:val="auto"/>
          <w:sz w:val="21"/>
          <w:szCs w:val="21"/>
          <w:highlight w:val="none"/>
        </w:rPr>
      </w:pPr>
      <w:r>
        <w:rPr>
          <w:rFonts w:hint="eastAsia" w:ascii="宋体" w:hAnsi="宋体" w:cs="宋体"/>
          <w:color w:val="auto"/>
          <w:sz w:val="22"/>
          <w:szCs w:val="22"/>
          <w:highlight w:val="none"/>
        </w:rPr>
        <w:t>四、投标人提交的其他资料（若有）</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pStyle w:val="19"/>
        <w:widowControl/>
        <w:jc w:val="center"/>
        <w:rPr>
          <w:rFonts w:ascii="宋体" w:hAnsi="宋体" w:cs="宋体"/>
          <w:color w:val="auto"/>
          <w:highlight w:val="none"/>
        </w:rPr>
      </w:pPr>
      <w:r>
        <w:rPr>
          <w:rFonts w:hint="eastAsia" w:ascii="宋体" w:hAnsi="宋体" w:cs="宋体"/>
          <w:color w:val="auto"/>
          <w:sz w:val="21"/>
          <w:szCs w:val="21"/>
          <w:highlight w:val="none"/>
        </w:rPr>
        <w:t>★注意</w:t>
      </w:r>
    </w:p>
    <w:p>
      <w:pPr>
        <w:pStyle w:val="19"/>
        <w:widowControl/>
        <w:ind w:firstLine="420"/>
        <w:rPr>
          <w:rFonts w:ascii="宋体" w:hAnsi="宋体" w:cs="宋体"/>
          <w:color w:val="auto"/>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7"/>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19"/>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9"/>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7"/>
          <w:rFonts w:hint="eastAsia" w:ascii="宋体" w:hAnsi="宋体" w:cs="宋体"/>
          <w:color w:val="auto"/>
          <w:sz w:val="21"/>
          <w:szCs w:val="21"/>
          <w:highlight w:val="none"/>
        </w:rPr>
        <w:t>一、标的说明一览表</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3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63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投标标的</w:t>
            </w:r>
          </w:p>
        </w:tc>
        <w:tc>
          <w:tcPr>
            <w:tcW w:w="83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1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规格（品牌/型号）</w:t>
            </w:r>
          </w:p>
        </w:tc>
        <w:tc>
          <w:tcPr>
            <w:tcW w:w="11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来源地</w:t>
            </w:r>
          </w:p>
        </w:tc>
        <w:tc>
          <w:tcPr>
            <w:tcW w:w="181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1.2“投标标的”为货物的：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项下应填写货物制造厂商赋予的品牌（属于节能、环保清单产品的货物，填写的品牌名称应与清单载明的品牌名称保持一致）及具体型号。</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应填写货物的原产地。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1.3“投标标的”为服务的：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项下应填写服务提供者提供的服务标准及品牌（若有）。</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应填写服务提供者的所在地。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项下应填写关于服务标准所涵盖的具体项目或内容的说明等。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3、投标文件中涉及</w:t>
      </w:r>
      <w:r>
        <w:rPr>
          <w:rFonts w:hint="eastAsia" w:ascii="宋体" w:hAnsi="宋体" w:cs="宋体"/>
          <w:b/>
          <w:bCs/>
          <w:color w:val="auto"/>
          <w:kern w:val="0"/>
          <w:szCs w:val="21"/>
          <w:highlight w:val="none"/>
        </w:rPr>
        <w:t>“投标标的”、“数量”、“规格”、“来源地”</w:t>
      </w:r>
      <w:r>
        <w:rPr>
          <w:rFonts w:hint="eastAsia" w:ascii="宋体" w:hAnsi="宋体" w:cs="宋体"/>
          <w:color w:val="auto"/>
          <w:kern w:val="0"/>
          <w:szCs w:val="21"/>
          <w:highlight w:val="none"/>
        </w:rPr>
        <w:t>的内容若不一致，</w:t>
      </w:r>
      <w:r>
        <w:rPr>
          <w:rFonts w:hint="eastAsia" w:ascii="宋体" w:hAnsi="宋体" w:cs="宋体"/>
          <w:b/>
          <w:bCs/>
          <w:color w:val="auto"/>
          <w:kern w:val="0"/>
          <w:szCs w:val="21"/>
          <w:highlight w:val="none"/>
        </w:rPr>
        <w:t>应以本表为准</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jc w:val="center"/>
        <w:rPr>
          <w:rStyle w:val="27"/>
          <w:rFonts w:ascii="宋体" w:hAnsi="宋体" w:cs="宋体"/>
          <w:color w:val="auto"/>
          <w:sz w:val="21"/>
          <w:szCs w:val="21"/>
          <w:highlight w:val="none"/>
        </w:rPr>
      </w:pPr>
      <w:r>
        <w:rPr>
          <w:rFonts w:hint="eastAsia" w:ascii="宋体" w:hAnsi="宋体" w:cs="宋体"/>
          <w:color w:val="auto"/>
          <w:sz w:val="21"/>
          <w:szCs w:val="21"/>
          <w:highlight w:val="none"/>
        </w:rPr>
        <w:t> </w:t>
      </w:r>
      <w:r>
        <w:rPr>
          <w:rStyle w:val="27"/>
          <w:rFonts w:hint="eastAsia" w:ascii="宋体" w:hAnsi="宋体" w:cs="宋体"/>
          <w:color w:val="auto"/>
          <w:sz w:val="21"/>
          <w:szCs w:val="21"/>
          <w:highlight w:val="none"/>
        </w:rPr>
        <w:br w:type="textWrapping"/>
      </w:r>
    </w:p>
    <w:p>
      <w:pPr>
        <w:pStyle w:val="19"/>
        <w:widowControl/>
        <w:jc w:val="center"/>
        <w:rPr>
          <w:rStyle w:val="27"/>
          <w:rFonts w:ascii="宋体" w:hAnsi="宋体" w:cs="宋体"/>
          <w:color w:val="auto"/>
          <w:sz w:val="21"/>
          <w:szCs w:val="21"/>
          <w:highlight w:val="none"/>
        </w:rPr>
      </w:pPr>
    </w:p>
    <w:p>
      <w:pPr>
        <w:pStyle w:val="19"/>
        <w:widowControl/>
        <w:jc w:val="center"/>
        <w:rPr>
          <w:rFonts w:ascii="宋体" w:hAnsi="宋体" w:cs="宋体"/>
          <w:color w:val="auto"/>
          <w:highlight w:val="none"/>
        </w:rPr>
      </w:pPr>
      <w:r>
        <w:rPr>
          <w:rStyle w:val="27"/>
          <w:rFonts w:hint="eastAsia" w:ascii="宋体" w:hAnsi="宋体" w:cs="宋体"/>
          <w:color w:val="auto"/>
          <w:sz w:val="21"/>
          <w:szCs w:val="21"/>
          <w:highlight w:val="none"/>
        </w:rPr>
        <w:t>二、技术和服务要求响应表</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1.1“技术和服务要求”项下填写的内容应与招标文件第五章“技术和服务要求”的内容保持一致。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br w:type="textWrapping"/>
      </w: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sz w:val="21"/>
          <w:szCs w:val="21"/>
          <w:highlight w:val="none"/>
        </w:rPr>
      </w:pPr>
    </w:p>
    <w:p>
      <w:pPr>
        <w:pStyle w:val="19"/>
        <w:widowControl/>
        <w:jc w:val="center"/>
        <w:rPr>
          <w:rFonts w:ascii="宋体" w:hAnsi="宋体" w:cs="宋体"/>
          <w:color w:val="auto"/>
          <w:highlight w:val="none"/>
        </w:rPr>
      </w:pPr>
      <w:r>
        <w:rPr>
          <w:rStyle w:val="27"/>
          <w:rFonts w:hint="eastAsia" w:ascii="宋体" w:hAnsi="宋体" w:cs="宋体"/>
          <w:color w:val="auto"/>
          <w:sz w:val="21"/>
          <w:szCs w:val="21"/>
          <w:highlight w:val="none"/>
        </w:rPr>
        <w:t>三、商务条件响应表</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1.1“商务条件”项下填写的内容应与招标文件第五章“商务条件”的内容保持一致。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9"/>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9"/>
        <w:widowControl/>
        <w:rPr>
          <w:rFonts w:ascii="宋体" w:hAnsi="宋体" w:cs="宋体"/>
          <w:color w:val="auto"/>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9"/>
        <w:widowControl/>
        <w:rPr>
          <w:rFonts w:ascii="宋体" w:hAnsi="宋体" w:cs="宋体"/>
          <w:color w:val="auto"/>
          <w:sz w:val="21"/>
          <w:szCs w:val="21"/>
          <w:highlight w:val="none"/>
        </w:rPr>
      </w:pPr>
    </w:p>
    <w:p>
      <w:pPr>
        <w:pStyle w:val="19"/>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四、投标人提交的其他资料（若有）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1、招标文件要求提交的除</w:t>
      </w:r>
      <w:r>
        <w:rPr>
          <w:rFonts w:hint="eastAsia" w:ascii="宋体" w:hAnsi="宋体" w:cs="宋体"/>
          <w:b/>
          <w:bCs/>
          <w:color w:val="auto"/>
          <w:kern w:val="0"/>
          <w:szCs w:val="21"/>
          <w:highlight w:val="none"/>
        </w:rPr>
        <w:t>“资格及资信证明部分”、“报价部分”</w:t>
      </w:r>
      <w:r>
        <w:rPr>
          <w:rFonts w:hint="eastAsia" w:ascii="宋体" w:hAnsi="宋体" w:cs="宋体"/>
          <w:color w:val="auto"/>
          <w:kern w:val="0"/>
          <w:szCs w:val="21"/>
          <w:highlight w:val="none"/>
        </w:rPr>
        <w:t>外的其他证明材料或资料加盖投标人的单位公章后应在此项下提交。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3、除招标文件另有规定外，投标人认为需要提交的其他证明材料或资料加盖投标人的单位公章后应在此项下提交。</w:t>
      </w:r>
    </w:p>
    <w:p>
      <w:pPr>
        <w:rPr>
          <w:rFonts w:ascii="宋体" w:hAnsi="宋体" w:cs="宋体"/>
          <w:color w:val="auto"/>
          <w:highlight w:val="none"/>
        </w:rPr>
      </w:pPr>
    </w:p>
    <w:p>
      <w:pPr>
        <w:pStyle w:val="36"/>
        <w:rPr>
          <w:rFonts w:ascii="宋体" w:hAnsi="宋体" w:cs="宋体"/>
          <w:color w:val="auto"/>
          <w:highlight w:val="none"/>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center"/>
      <w:rPr>
        <w:rFonts w:asci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hint="eastAsia" w:ascii="宋体" w:hAnsi="宋体"/>
        <w:sz w:val="21"/>
        <w:szCs w:val="21"/>
      </w:rPr>
      <w:t>页共</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101</w:t>
    </w:r>
    <w:r>
      <w:rPr>
        <w:rFonts w:ascii="宋体" w:hAnsi="宋体"/>
        <w:sz w:val="21"/>
        <w:szCs w:val="21"/>
      </w:rPr>
      <w:fldChar w:fldCharType="end"/>
    </w:r>
    <w:r>
      <w:rPr>
        <w:rFonts w:hint="eastAsia" w:ascii="宋体" w:hAnsi="宋体"/>
        <w:sz w:val="21"/>
        <w:szCs w:val="21"/>
      </w:rPr>
      <w:t>页</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u w:val="single"/>
      </w:rPr>
    </w:pPr>
    <w:r>
      <w:rPr>
        <w:rFonts w:hint="eastAsia"/>
        <w:u w:val="single"/>
      </w:rPr>
      <w:t xml:space="preserve">招标文件                                                                   建融建设管理集团有限责任公司 </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72D935BF"/>
    <w:multiLevelType w:val="singleLevel"/>
    <w:tmpl w:val="72D935BF"/>
    <w:lvl w:ilvl="0" w:tentative="0">
      <w:start w:val="1"/>
      <w:numFmt w:val="lowerLetter"/>
      <w:lvlText w:val="%1."/>
      <w:lvlJc w:val="left"/>
      <w:pPr>
        <w:tabs>
          <w:tab w:val="left" w:pos="312"/>
        </w:tabs>
      </w:pPr>
    </w:lvl>
  </w:abstractNum>
  <w:abstractNum w:abstractNumId="6">
    <w:nsid w:val="7499EF16"/>
    <w:multiLevelType w:val="singleLevel"/>
    <w:tmpl w:val="7499EF16"/>
    <w:lvl w:ilvl="0" w:tentative="0">
      <w:start w:val="10"/>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zc0ZjU3YWIwYWM4NzRkOGUyYTIyYzU3YzdmN2MifQ=="/>
  </w:docVars>
  <w:rsids>
    <w:rsidRoot w:val="00131D37"/>
    <w:rsid w:val="00004A0A"/>
    <w:rsid w:val="000242A5"/>
    <w:rsid w:val="000323D0"/>
    <w:rsid w:val="00054746"/>
    <w:rsid w:val="000924C9"/>
    <w:rsid w:val="000A36E9"/>
    <w:rsid w:val="000D71A3"/>
    <w:rsid w:val="00101D0D"/>
    <w:rsid w:val="001034FF"/>
    <w:rsid w:val="00130B85"/>
    <w:rsid w:val="00131D37"/>
    <w:rsid w:val="001E41EE"/>
    <w:rsid w:val="00200386"/>
    <w:rsid w:val="0020442A"/>
    <w:rsid w:val="00226793"/>
    <w:rsid w:val="00246FE7"/>
    <w:rsid w:val="00247808"/>
    <w:rsid w:val="00255368"/>
    <w:rsid w:val="002A30DF"/>
    <w:rsid w:val="002D23F0"/>
    <w:rsid w:val="00315E84"/>
    <w:rsid w:val="0032166C"/>
    <w:rsid w:val="00333C56"/>
    <w:rsid w:val="00334E5C"/>
    <w:rsid w:val="0034591F"/>
    <w:rsid w:val="00364129"/>
    <w:rsid w:val="003972CD"/>
    <w:rsid w:val="003C52B4"/>
    <w:rsid w:val="003E0C97"/>
    <w:rsid w:val="004104B3"/>
    <w:rsid w:val="00422873"/>
    <w:rsid w:val="0043053C"/>
    <w:rsid w:val="0045578B"/>
    <w:rsid w:val="004A316B"/>
    <w:rsid w:val="004D7C33"/>
    <w:rsid w:val="00561E9A"/>
    <w:rsid w:val="00576511"/>
    <w:rsid w:val="005833E2"/>
    <w:rsid w:val="005B4F04"/>
    <w:rsid w:val="0065270C"/>
    <w:rsid w:val="006A7FFE"/>
    <w:rsid w:val="006C0CC5"/>
    <w:rsid w:val="006F7848"/>
    <w:rsid w:val="007136D1"/>
    <w:rsid w:val="007900F2"/>
    <w:rsid w:val="0079251A"/>
    <w:rsid w:val="00854355"/>
    <w:rsid w:val="00876644"/>
    <w:rsid w:val="00885846"/>
    <w:rsid w:val="0088685E"/>
    <w:rsid w:val="008B6110"/>
    <w:rsid w:val="008C0A2C"/>
    <w:rsid w:val="008D1772"/>
    <w:rsid w:val="008E12E4"/>
    <w:rsid w:val="008E6AC0"/>
    <w:rsid w:val="0091722E"/>
    <w:rsid w:val="009222D1"/>
    <w:rsid w:val="00923BF4"/>
    <w:rsid w:val="00924014"/>
    <w:rsid w:val="0097261F"/>
    <w:rsid w:val="00981E4A"/>
    <w:rsid w:val="009B0D45"/>
    <w:rsid w:val="009D10C8"/>
    <w:rsid w:val="009D154C"/>
    <w:rsid w:val="00A134EA"/>
    <w:rsid w:val="00A45E1A"/>
    <w:rsid w:val="00A67901"/>
    <w:rsid w:val="00A730AA"/>
    <w:rsid w:val="00A75217"/>
    <w:rsid w:val="00A96A78"/>
    <w:rsid w:val="00A974FC"/>
    <w:rsid w:val="00AA3BE8"/>
    <w:rsid w:val="00AC68D6"/>
    <w:rsid w:val="00AF0A34"/>
    <w:rsid w:val="00B57FAD"/>
    <w:rsid w:val="00B8540B"/>
    <w:rsid w:val="00BA1634"/>
    <w:rsid w:val="00BA3183"/>
    <w:rsid w:val="00BF332A"/>
    <w:rsid w:val="00C24598"/>
    <w:rsid w:val="00C435BE"/>
    <w:rsid w:val="00CD019A"/>
    <w:rsid w:val="00CE20FB"/>
    <w:rsid w:val="00CE7150"/>
    <w:rsid w:val="00CF125D"/>
    <w:rsid w:val="00D038F8"/>
    <w:rsid w:val="00D24998"/>
    <w:rsid w:val="00D54671"/>
    <w:rsid w:val="00D546B1"/>
    <w:rsid w:val="00D9208A"/>
    <w:rsid w:val="00DB7DC4"/>
    <w:rsid w:val="00DE2A96"/>
    <w:rsid w:val="00E022C6"/>
    <w:rsid w:val="00E26C0E"/>
    <w:rsid w:val="00E75D35"/>
    <w:rsid w:val="00EE1AF8"/>
    <w:rsid w:val="00EE1BCE"/>
    <w:rsid w:val="00EE7D87"/>
    <w:rsid w:val="00F37933"/>
    <w:rsid w:val="00FD073B"/>
    <w:rsid w:val="01E07700"/>
    <w:rsid w:val="02114710"/>
    <w:rsid w:val="026063D0"/>
    <w:rsid w:val="02975E55"/>
    <w:rsid w:val="02DF1BD7"/>
    <w:rsid w:val="03231C1A"/>
    <w:rsid w:val="034E3DBB"/>
    <w:rsid w:val="038522FB"/>
    <w:rsid w:val="03FF71FF"/>
    <w:rsid w:val="040D174A"/>
    <w:rsid w:val="05513C6C"/>
    <w:rsid w:val="05875308"/>
    <w:rsid w:val="05A06538"/>
    <w:rsid w:val="05B02A8D"/>
    <w:rsid w:val="07211C63"/>
    <w:rsid w:val="07244EEA"/>
    <w:rsid w:val="079B29D5"/>
    <w:rsid w:val="083815D2"/>
    <w:rsid w:val="096C73A2"/>
    <w:rsid w:val="0A8D6DD4"/>
    <w:rsid w:val="0AAD26BB"/>
    <w:rsid w:val="0AB30C08"/>
    <w:rsid w:val="0ACA6A52"/>
    <w:rsid w:val="0B1E47D0"/>
    <w:rsid w:val="0B7D4237"/>
    <w:rsid w:val="0D665A94"/>
    <w:rsid w:val="0D7D5A4D"/>
    <w:rsid w:val="0DDD349A"/>
    <w:rsid w:val="0DDD741F"/>
    <w:rsid w:val="0E851045"/>
    <w:rsid w:val="0EA659B2"/>
    <w:rsid w:val="0F68275F"/>
    <w:rsid w:val="0F7B6128"/>
    <w:rsid w:val="10560258"/>
    <w:rsid w:val="107E66AF"/>
    <w:rsid w:val="10F94B72"/>
    <w:rsid w:val="10FA144F"/>
    <w:rsid w:val="113A3AB2"/>
    <w:rsid w:val="114A6898"/>
    <w:rsid w:val="121A5C3E"/>
    <w:rsid w:val="122334F7"/>
    <w:rsid w:val="122D35D7"/>
    <w:rsid w:val="1234262D"/>
    <w:rsid w:val="129D61E8"/>
    <w:rsid w:val="133F6391"/>
    <w:rsid w:val="13906809"/>
    <w:rsid w:val="147D6926"/>
    <w:rsid w:val="14DA6E07"/>
    <w:rsid w:val="15241A72"/>
    <w:rsid w:val="15584CF3"/>
    <w:rsid w:val="16393604"/>
    <w:rsid w:val="16AA0BDF"/>
    <w:rsid w:val="16C31C28"/>
    <w:rsid w:val="16F02A29"/>
    <w:rsid w:val="185724C3"/>
    <w:rsid w:val="18AD593E"/>
    <w:rsid w:val="18BD4944"/>
    <w:rsid w:val="18F64BCF"/>
    <w:rsid w:val="19935639"/>
    <w:rsid w:val="19CD11F3"/>
    <w:rsid w:val="19CF7B28"/>
    <w:rsid w:val="1A7725F1"/>
    <w:rsid w:val="1A950E37"/>
    <w:rsid w:val="1AC968BC"/>
    <w:rsid w:val="1ADC5644"/>
    <w:rsid w:val="1B5271EC"/>
    <w:rsid w:val="1B59696D"/>
    <w:rsid w:val="1C3D1211"/>
    <w:rsid w:val="1C88256F"/>
    <w:rsid w:val="1C9D43AC"/>
    <w:rsid w:val="1D765AC0"/>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8222C4"/>
    <w:rsid w:val="24D168CB"/>
    <w:rsid w:val="25402943"/>
    <w:rsid w:val="257E4A5A"/>
    <w:rsid w:val="259F7E84"/>
    <w:rsid w:val="25A85E59"/>
    <w:rsid w:val="274C70CB"/>
    <w:rsid w:val="277275FF"/>
    <w:rsid w:val="27EF2C7E"/>
    <w:rsid w:val="27F304AC"/>
    <w:rsid w:val="28516D09"/>
    <w:rsid w:val="28851357"/>
    <w:rsid w:val="28DC5586"/>
    <w:rsid w:val="28ED66C7"/>
    <w:rsid w:val="29081E10"/>
    <w:rsid w:val="291F00B2"/>
    <w:rsid w:val="298D53DE"/>
    <w:rsid w:val="29FD3F8F"/>
    <w:rsid w:val="2A550C84"/>
    <w:rsid w:val="2B4F3775"/>
    <w:rsid w:val="2B8167F4"/>
    <w:rsid w:val="2CAB6572"/>
    <w:rsid w:val="2CB45FFF"/>
    <w:rsid w:val="2CB479AD"/>
    <w:rsid w:val="2D282F4C"/>
    <w:rsid w:val="2D63047F"/>
    <w:rsid w:val="2DAA7A4E"/>
    <w:rsid w:val="2DF91A6A"/>
    <w:rsid w:val="2E04116B"/>
    <w:rsid w:val="2E3A0CA4"/>
    <w:rsid w:val="2E7C28D5"/>
    <w:rsid w:val="2E8D2D65"/>
    <w:rsid w:val="2F4D0BB5"/>
    <w:rsid w:val="2FDF58CC"/>
    <w:rsid w:val="314236BD"/>
    <w:rsid w:val="31DB4310"/>
    <w:rsid w:val="32E33D92"/>
    <w:rsid w:val="332533DF"/>
    <w:rsid w:val="332B7490"/>
    <w:rsid w:val="33492641"/>
    <w:rsid w:val="33D10B11"/>
    <w:rsid w:val="33EF2366"/>
    <w:rsid w:val="344C38B0"/>
    <w:rsid w:val="345C4460"/>
    <w:rsid w:val="34661131"/>
    <w:rsid w:val="346E16C0"/>
    <w:rsid w:val="34881A7C"/>
    <w:rsid w:val="34A24FB5"/>
    <w:rsid w:val="34CD2A72"/>
    <w:rsid w:val="34DE755E"/>
    <w:rsid w:val="34FA4DC2"/>
    <w:rsid w:val="34FD2B01"/>
    <w:rsid w:val="3554227B"/>
    <w:rsid w:val="357E5517"/>
    <w:rsid w:val="35C0022C"/>
    <w:rsid w:val="36881635"/>
    <w:rsid w:val="378013EB"/>
    <w:rsid w:val="37C37E80"/>
    <w:rsid w:val="37F866E3"/>
    <w:rsid w:val="384422C7"/>
    <w:rsid w:val="389B0845"/>
    <w:rsid w:val="38E065C6"/>
    <w:rsid w:val="394744BB"/>
    <w:rsid w:val="399D5BA3"/>
    <w:rsid w:val="3A5E3CBE"/>
    <w:rsid w:val="3A7C16A5"/>
    <w:rsid w:val="3A8C25D2"/>
    <w:rsid w:val="3AC71E21"/>
    <w:rsid w:val="3B563370"/>
    <w:rsid w:val="3CDA52CD"/>
    <w:rsid w:val="3D9F3221"/>
    <w:rsid w:val="3DCE485A"/>
    <w:rsid w:val="3DE54F7F"/>
    <w:rsid w:val="3E051487"/>
    <w:rsid w:val="3ECE3E1F"/>
    <w:rsid w:val="3EEF033C"/>
    <w:rsid w:val="3F5341FE"/>
    <w:rsid w:val="3F547DC4"/>
    <w:rsid w:val="3FBE3628"/>
    <w:rsid w:val="3FE97FBE"/>
    <w:rsid w:val="40403587"/>
    <w:rsid w:val="408365FB"/>
    <w:rsid w:val="4092311F"/>
    <w:rsid w:val="40F4229C"/>
    <w:rsid w:val="414746FD"/>
    <w:rsid w:val="415B7C5B"/>
    <w:rsid w:val="416C44F9"/>
    <w:rsid w:val="41764F49"/>
    <w:rsid w:val="4217368E"/>
    <w:rsid w:val="424B0F1C"/>
    <w:rsid w:val="424F527C"/>
    <w:rsid w:val="42CD054E"/>
    <w:rsid w:val="42F30F9F"/>
    <w:rsid w:val="438C79EA"/>
    <w:rsid w:val="440B25A5"/>
    <w:rsid w:val="441176EC"/>
    <w:rsid w:val="44B000D4"/>
    <w:rsid w:val="44E45ADE"/>
    <w:rsid w:val="459B4F7E"/>
    <w:rsid w:val="46AD7FCC"/>
    <w:rsid w:val="4790179A"/>
    <w:rsid w:val="479C2448"/>
    <w:rsid w:val="487D2327"/>
    <w:rsid w:val="48D333B8"/>
    <w:rsid w:val="495053BA"/>
    <w:rsid w:val="49D6477C"/>
    <w:rsid w:val="49FF5AE0"/>
    <w:rsid w:val="4A4D0FAC"/>
    <w:rsid w:val="4A731DB2"/>
    <w:rsid w:val="4AB81CBD"/>
    <w:rsid w:val="4ACC0C03"/>
    <w:rsid w:val="4AE12FA2"/>
    <w:rsid w:val="4BCC51E1"/>
    <w:rsid w:val="4C26098E"/>
    <w:rsid w:val="4C320D82"/>
    <w:rsid w:val="4C4738FC"/>
    <w:rsid w:val="4C753B85"/>
    <w:rsid w:val="4D766A75"/>
    <w:rsid w:val="4D9C02AD"/>
    <w:rsid w:val="4DBB1752"/>
    <w:rsid w:val="4DE6331E"/>
    <w:rsid w:val="4F352A98"/>
    <w:rsid w:val="4F7D50EE"/>
    <w:rsid w:val="4FDE656D"/>
    <w:rsid w:val="509167E7"/>
    <w:rsid w:val="51830DB0"/>
    <w:rsid w:val="51EC31C2"/>
    <w:rsid w:val="52443EA6"/>
    <w:rsid w:val="526108A7"/>
    <w:rsid w:val="5265577C"/>
    <w:rsid w:val="53DD5AB5"/>
    <w:rsid w:val="54055682"/>
    <w:rsid w:val="544C326A"/>
    <w:rsid w:val="554D3CEB"/>
    <w:rsid w:val="55A90FF1"/>
    <w:rsid w:val="55D02D79"/>
    <w:rsid w:val="56113878"/>
    <w:rsid w:val="57F81C76"/>
    <w:rsid w:val="58032FD6"/>
    <w:rsid w:val="58353AA0"/>
    <w:rsid w:val="583A254B"/>
    <w:rsid w:val="58BD703F"/>
    <w:rsid w:val="58C84833"/>
    <w:rsid w:val="590C4189"/>
    <w:rsid w:val="5A305411"/>
    <w:rsid w:val="5B3811D2"/>
    <w:rsid w:val="5B7A2728"/>
    <w:rsid w:val="5BF5015D"/>
    <w:rsid w:val="5C840CC0"/>
    <w:rsid w:val="5D037980"/>
    <w:rsid w:val="5DBC3248"/>
    <w:rsid w:val="5DD26CE9"/>
    <w:rsid w:val="5E4B45FA"/>
    <w:rsid w:val="5E8F47AA"/>
    <w:rsid w:val="5EA879E7"/>
    <w:rsid w:val="5ED10663"/>
    <w:rsid w:val="5EE85056"/>
    <w:rsid w:val="5F093B30"/>
    <w:rsid w:val="5F0D6BFF"/>
    <w:rsid w:val="5F1B3488"/>
    <w:rsid w:val="5FA04D35"/>
    <w:rsid w:val="60502671"/>
    <w:rsid w:val="60CA2299"/>
    <w:rsid w:val="60D21119"/>
    <w:rsid w:val="60D54722"/>
    <w:rsid w:val="623467C4"/>
    <w:rsid w:val="6258677E"/>
    <w:rsid w:val="62810010"/>
    <w:rsid w:val="628A54D9"/>
    <w:rsid w:val="634A07A3"/>
    <w:rsid w:val="6368403D"/>
    <w:rsid w:val="63990999"/>
    <w:rsid w:val="63D261E5"/>
    <w:rsid w:val="640C0814"/>
    <w:rsid w:val="64926BCA"/>
    <w:rsid w:val="649B194D"/>
    <w:rsid w:val="64FA7290"/>
    <w:rsid w:val="657A046B"/>
    <w:rsid w:val="65C467E5"/>
    <w:rsid w:val="65D825C1"/>
    <w:rsid w:val="66E77160"/>
    <w:rsid w:val="67172D8A"/>
    <w:rsid w:val="67544317"/>
    <w:rsid w:val="67872844"/>
    <w:rsid w:val="682D56F6"/>
    <w:rsid w:val="68A63209"/>
    <w:rsid w:val="6A334ED5"/>
    <w:rsid w:val="6AAA2077"/>
    <w:rsid w:val="6ADC3CDC"/>
    <w:rsid w:val="6B2C1CB2"/>
    <w:rsid w:val="6B404A3F"/>
    <w:rsid w:val="6B880C62"/>
    <w:rsid w:val="6BC42FB3"/>
    <w:rsid w:val="6C2B2226"/>
    <w:rsid w:val="6CF40DE6"/>
    <w:rsid w:val="6D426B21"/>
    <w:rsid w:val="6D7451C8"/>
    <w:rsid w:val="6E833B57"/>
    <w:rsid w:val="6EFF72D3"/>
    <w:rsid w:val="6F667FDA"/>
    <w:rsid w:val="6F674CA6"/>
    <w:rsid w:val="6FAE51FE"/>
    <w:rsid w:val="703B2A99"/>
    <w:rsid w:val="70536FA9"/>
    <w:rsid w:val="70B80970"/>
    <w:rsid w:val="70C76378"/>
    <w:rsid w:val="70DB392B"/>
    <w:rsid w:val="71E04B9A"/>
    <w:rsid w:val="72137709"/>
    <w:rsid w:val="725B1993"/>
    <w:rsid w:val="72C57698"/>
    <w:rsid w:val="72F55295"/>
    <w:rsid w:val="737814C4"/>
    <w:rsid w:val="740337EF"/>
    <w:rsid w:val="743C7237"/>
    <w:rsid w:val="746547B6"/>
    <w:rsid w:val="75005DA1"/>
    <w:rsid w:val="75114952"/>
    <w:rsid w:val="754E29FE"/>
    <w:rsid w:val="75906C53"/>
    <w:rsid w:val="75C346F4"/>
    <w:rsid w:val="75D00B0D"/>
    <w:rsid w:val="75FB3967"/>
    <w:rsid w:val="763E192F"/>
    <w:rsid w:val="773D49F2"/>
    <w:rsid w:val="77DF388C"/>
    <w:rsid w:val="78142F71"/>
    <w:rsid w:val="798C37D7"/>
    <w:rsid w:val="79E72193"/>
    <w:rsid w:val="7A65718C"/>
    <w:rsid w:val="7A942596"/>
    <w:rsid w:val="7A94551C"/>
    <w:rsid w:val="7AF5460A"/>
    <w:rsid w:val="7AFD7CA2"/>
    <w:rsid w:val="7B4E3F9F"/>
    <w:rsid w:val="7B8E304D"/>
    <w:rsid w:val="7B8F58E5"/>
    <w:rsid w:val="7BC75117"/>
    <w:rsid w:val="7BC93D3F"/>
    <w:rsid w:val="7C23124E"/>
    <w:rsid w:val="7C816A99"/>
    <w:rsid w:val="7CBB1745"/>
    <w:rsid w:val="7D02418A"/>
    <w:rsid w:val="7D3527E3"/>
    <w:rsid w:val="7DFD017C"/>
    <w:rsid w:val="7E4933EB"/>
    <w:rsid w:val="7E5D031B"/>
    <w:rsid w:val="7ED2539F"/>
    <w:rsid w:val="7F197FCF"/>
    <w:rsid w:val="7F3F653C"/>
    <w:rsid w:val="7F593736"/>
    <w:rsid w:val="7F704E71"/>
    <w:rsid w:val="7FE172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99"/>
    <w:pPr>
      <w:spacing w:beforeAutospacing="1" w:afterAutospacing="1"/>
      <w:jc w:val="left"/>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42"/>
    <w:qFormat/>
    <w:uiPriority w:val="99"/>
    <w:pPr>
      <w:spacing w:before="100" w:beforeAutospacing="1" w:after="100" w:afterAutospacing="1"/>
      <w:jc w:val="left"/>
      <w:outlineLvl w:val="2"/>
    </w:pPr>
    <w:rPr>
      <w:b/>
      <w:bCs/>
      <w:kern w:val="0"/>
      <w:sz w:val="32"/>
      <w:szCs w:val="32"/>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Normal Indent"/>
    <w:basedOn w:val="1"/>
    <w:next w:val="1"/>
    <w:qFormat/>
    <w:uiPriority w:val="99"/>
    <w:pPr>
      <w:ind w:firstLine="420"/>
    </w:pPr>
  </w:style>
  <w:style w:type="paragraph" w:styleId="7">
    <w:name w:val="annotation text"/>
    <w:basedOn w:val="1"/>
    <w:link w:val="43"/>
    <w:qFormat/>
    <w:uiPriority w:val="99"/>
    <w:pPr>
      <w:jc w:val="left"/>
    </w:pPr>
    <w:rPr>
      <w:kern w:val="0"/>
      <w:sz w:val="24"/>
    </w:rPr>
  </w:style>
  <w:style w:type="paragraph" w:styleId="8">
    <w:name w:val="Body Text"/>
    <w:basedOn w:val="1"/>
    <w:next w:val="1"/>
    <w:link w:val="44"/>
    <w:qFormat/>
    <w:uiPriority w:val="99"/>
    <w:pPr>
      <w:spacing w:line="360" w:lineRule="auto"/>
    </w:pPr>
    <w:rPr>
      <w:kern w:val="0"/>
      <w:sz w:val="24"/>
    </w:rPr>
  </w:style>
  <w:style w:type="paragraph" w:styleId="9">
    <w:name w:val="Body Text Indent"/>
    <w:basedOn w:val="1"/>
    <w:next w:val="10"/>
    <w:link w:val="45"/>
    <w:qFormat/>
    <w:uiPriority w:val="99"/>
    <w:pPr>
      <w:ind w:left="420"/>
    </w:pPr>
    <w:rPr>
      <w:kern w:val="0"/>
      <w:sz w:val="24"/>
    </w:rPr>
  </w:style>
  <w:style w:type="paragraph" w:styleId="10">
    <w:name w:val="envelope return"/>
    <w:basedOn w:val="1"/>
    <w:qFormat/>
    <w:uiPriority w:val="0"/>
    <w:pPr>
      <w:snapToGrid w:val="0"/>
    </w:pPr>
    <w:rPr>
      <w:rFonts w:ascii="Arial" w:hAnsi="Arial"/>
    </w:rPr>
  </w:style>
  <w:style w:type="paragraph" w:styleId="11">
    <w:name w:val="Plain Text"/>
    <w:basedOn w:val="1"/>
    <w:link w:val="46"/>
    <w:qFormat/>
    <w:uiPriority w:val="99"/>
    <w:rPr>
      <w:rFonts w:ascii="宋体" w:hAnsi="Courier New"/>
      <w:kern w:val="0"/>
      <w:szCs w:val="21"/>
    </w:rPr>
  </w:style>
  <w:style w:type="paragraph" w:styleId="12">
    <w:name w:val="Date"/>
    <w:basedOn w:val="1"/>
    <w:next w:val="1"/>
    <w:qFormat/>
    <w:uiPriority w:val="0"/>
    <w:rPr>
      <w:sz w:val="28"/>
      <w:szCs w:val="20"/>
    </w:rPr>
  </w:style>
  <w:style w:type="paragraph" w:styleId="13">
    <w:name w:val="Body Text Indent 2"/>
    <w:basedOn w:val="1"/>
    <w:link w:val="47"/>
    <w:qFormat/>
    <w:uiPriority w:val="99"/>
    <w:pPr>
      <w:spacing w:line="360" w:lineRule="auto"/>
      <w:ind w:firstLine="507" w:firstLineChars="200"/>
    </w:pPr>
    <w:rPr>
      <w:kern w:val="0"/>
      <w:sz w:val="24"/>
    </w:rPr>
  </w:style>
  <w:style w:type="paragraph" w:styleId="14">
    <w:name w:val="Balloon Text"/>
    <w:basedOn w:val="1"/>
    <w:link w:val="68"/>
    <w:qFormat/>
    <w:uiPriority w:val="99"/>
    <w:rPr>
      <w:kern w:val="0"/>
      <w:sz w:val="2"/>
      <w:szCs w:val="20"/>
    </w:rPr>
  </w:style>
  <w:style w:type="paragraph" w:styleId="15">
    <w:name w:val="footer"/>
    <w:basedOn w:val="1"/>
    <w:link w:val="48"/>
    <w:qFormat/>
    <w:uiPriority w:val="99"/>
    <w:pPr>
      <w:tabs>
        <w:tab w:val="center" w:pos="4153"/>
        <w:tab w:val="right" w:pos="8306"/>
      </w:tabs>
      <w:snapToGrid w:val="0"/>
      <w:jc w:val="left"/>
    </w:pPr>
    <w:rPr>
      <w:kern w:val="0"/>
      <w:sz w:val="18"/>
      <w:szCs w:val="18"/>
    </w:rPr>
  </w:style>
  <w:style w:type="paragraph" w:styleId="16">
    <w:name w:val="header"/>
    <w:basedOn w:val="1"/>
    <w:next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8">
    <w:name w:val="toc 2"/>
    <w:basedOn w:val="1"/>
    <w:next w:val="1"/>
    <w:qFormat/>
    <w:uiPriority w:val="99"/>
    <w:pPr>
      <w:ind w:left="420" w:leftChars="200"/>
    </w:pPr>
  </w:style>
  <w:style w:type="paragraph" w:styleId="19">
    <w:name w:val="Normal (Web)"/>
    <w:basedOn w:val="1"/>
    <w:next w:val="1"/>
    <w:qFormat/>
    <w:uiPriority w:val="0"/>
    <w:pPr>
      <w:spacing w:line="300" w:lineRule="auto"/>
    </w:pPr>
    <w:rPr>
      <w:sz w:val="24"/>
    </w:rPr>
  </w:style>
  <w:style w:type="paragraph" w:styleId="20">
    <w:name w:val="Title"/>
    <w:basedOn w:val="1"/>
    <w:next w:val="1"/>
    <w:qFormat/>
    <w:uiPriority w:val="0"/>
    <w:pPr>
      <w:spacing w:line="360" w:lineRule="auto"/>
      <w:jc w:val="center"/>
      <w:outlineLvl w:val="0"/>
    </w:pPr>
    <w:rPr>
      <w:rFonts w:ascii="Cambria" w:hAnsi="Cambria"/>
      <w:b/>
      <w:bCs/>
      <w:kern w:val="0"/>
      <w:sz w:val="32"/>
      <w:szCs w:val="32"/>
    </w:rPr>
  </w:style>
  <w:style w:type="paragraph" w:styleId="21">
    <w:name w:val="Body Text First Indent"/>
    <w:basedOn w:val="8"/>
    <w:link w:val="50"/>
    <w:qFormat/>
    <w:uiPriority w:val="99"/>
    <w:pPr>
      <w:ind w:firstLine="420" w:firstLineChars="100"/>
    </w:pPr>
    <w:rPr>
      <w:bCs/>
    </w:rPr>
  </w:style>
  <w:style w:type="paragraph" w:styleId="22">
    <w:name w:val="Body Text First Indent 2"/>
    <w:basedOn w:val="9"/>
    <w:next w:val="1"/>
    <w:link w:val="51"/>
    <w:qFormat/>
    <w:uiPriority w:val="99"/>
    <w:pPr>
      <w:spacing w:after="120"/>
      <w:ind w:left="200" w:leftChars="200"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5">
    <w:name w:val="Table Elegant"/>
    <w:basedOn w:val="23"/>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FFFFFF"/>
      <w:vAlign w:val="center"/>
    </w:tcPr>
    <w:tblStylePr w:type="firstRow">
      <w:rPr>
        <w:caps/>
        <w:color w:val="auto"/>
      </w:rPr>
      <w:tblPr>
        <w:tblLayout w:type="fixed"/>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7">
    <w:name w:val="Strong"/>
    <w:basedOn w:val="26"/>
    <w:qFormat/>
    <w:uiPriority w:val="99"/>
    <w:rPr>
      <w:rFonts w:cs="Times New Roman"/>
      <w:b/>
    </w:rPr>
  </w:style>
  <w:style w:type="character" w:styleId="28">
    <w:name w:val="page number"/>
    <w:qFormat/>
    <w:uiPriority w:val="99"/>
    <w:rPr>
      <w:rFonts w:cs="Times New Roman"/>
    </w:rPr>
  </w:style>
  <w:style w:type="character" w:styleId="29">
    <w:name w:val="FollowedHyperlink"/>
    <w:qFormat/>
    <w:uiPriority w:val="99"/>
    <w:rPr>
      <w:rFonts w:cs="Times New Roman"/>
      <w:color w:val="3366CC"/>
      <w:u w:val="none"/>
    </w:rPr>
  </w:style>
  <w:style w:type="character" w:styleId="30">
    <w:name w:val="Emphasis"/>
    <w:qFormat/>
    <w:uiPriority w:val="99"/>
    <w:rPr>
      <w:rFonts w:cs="Times New Roman"/>
      <w:color w:val="CC0000"/>
    </w:rPr>
  </w:style>
  <w:style w:type="character" w:styleId="31">
    <w:name w:val="HTML Definition"/>
    <w:qFormat/>
    <w:uiPriority w:val="99"/>
    <w:rPr>
      <w:rFonts w:cs="Times New Roman"/>
      <w:i/>
    </w:rPr>
  </w:style>
  <w:style w:type="character" w:styleId="32">
    <w:name w:val="Hyperlink"/>
    <w:qFormat/>
    <w:uiPriority w:val="99"/>
    <w:rPr>
      <w:rFonts w:cs="Times New Roman"/>
      <w:color w:val="000000"/>
      <w:u w:val="none"/>
    </w:rPr>
  </w:style>
  <w:style w:type="character" w:styleId="33">
    <w:name w:val="annotation reference"/>
    <w:qFormat/>
    <w:uiPriority w:val="99"/>
    <w:rPr>
      <w:rFonts w:cs="Times New Roman"/>
      <w:sz w:val="21"/>
      <w:szCs w:val="21"/>
    </w:rPr>
  </w:style>
  <w:style w:type="character" w:styleId="34">
    <w:name w:val="HTML Cite"/>
    <w:qFormat/>
    <w:uiPriority w:val="99"/>
    <w:rPr>
      <w:rFonts w:cs="Times New Roman"/>
      <w:color w:val="008000"/>
    </w:rPr>
  </w:style>
  <w:style w:type="paragraph" w:customStyle="1" w:styleId="35">
    <w:name w:val="样式 首行缩进:  2 字符"/>
    <w:basedOn w:val="1"/>
    <w:qFormat/>
    <w:uiPriority w:val="0"/>
    <w:pPr>
      <w:ind w:firstLine="560"/>
    </w:pPr>
    <w:rPr>
      <w:rFonts w:eastAsia="仿宋_GB2312" w:cs="宋体"/>
      <w:sz w:val="24"/>
    </w:rPr>
  </w:style>
  <w:style w:type="paragraph" w:customStyle="1" w:styleId="36">
    <w:name w:val="表格文字"/>
    <w:basedOn w:val="1"/>
    <w:next w:val="8"/>
    <w:qFormat/>
    <w:uiPriority w:val="99"/>
    <w:pPr>
      <w:adjustRightInd w:val="0"/>
      <w:spacing w:line="420" w:lineRule="atLeast"/>
      <w:jc w:val="left"/>
      <w:textAlignment w:val="baseline"/>
    </w:pPr>
    <w:rPr>
      <w:kern w:val="0"/>
      <w:szCs w:val="20"/>
    </w:rPr>
  </w:style>
  <w:style w:type="paragraph" w:customStyle="1" w:styleId="37">
    <w:name w:val="_Style 2"/>
    <w:basedOn w:val="1"/>
    <w:next w:val="1"/>
    <w:qFormat/>
    <w:uiPriority w:val="99"/>
    <w:pPr>
      <w:ind w:firstLine="420"/>
    </w:pPr>
    <w:rPr>
      <w:rFonts w:ascii="Cambria" w:hAnsi="Cambria"/>
    </w:rPr>
  </w:style>
  <w:style w:type="paragraph" w:customStyle="1" w:styleId="38">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9">
    <w:name w:val="Char"/>
    <w:basedOn w:val="1"/>
    <w:qFormat/>
    <w:uiPriority w:val="0"/>
    <w:rPr>
      <w:rFonts w:ascii="Tahoma" w:hAnsi="Tahoma"/>
      <w:sz w:val="24"/>
      <w:szCs w:val="20"/>
    </w:rPr>
  </w:style>
  <w:style w:type="paragraph" w:customStyle="1" w:styleId="40">
    <w:name w:val="_Style 3"/>
    <w:basedOn w:val="1"/>
    <w:qFormat/>
    <w:uiPriority w:val="0"/>
    <w:pPr>
      <w:spacing w:line="240" w:lineRule="atLeast"/>
      <w:ind w:left="420" w:firstLine="420"/>
    </w:pPr>
    <w:rPr>
      <w:rFonts w:ascii="Calibri" w:hAnsi="Calibri"/>
    </w:rPr>
  </w:style>
  <w:style w:type="character" w:customStyle="1" w:styleId="41">
    <w:name w:val="标题 1 字符"/>
    <w:qFormat/>
    <w:uiPriority w:val="99"/>
    <w:rPr>
      <w:rFonts w:cs="Times New Roman"/>
      <w:b/>
      <w:bCs/>
      <w:kern w:val="44"/>
      <w:sz w:val="44"/>
      <w:szCs w:val="44"/>
    </w:rPr>
  </w:style>
  <w:style w:type="character" w:customStyle="1" w:styleId="42">
    <w:name w:val="标题 3 字符"/>
    <w:link w:val="5"/>
    <w:qFormat/>
    <w:uiPriority w:val="99"/>
    <w:rPr>
      <w:rFonts w:cs="Times New Roman"/>
      <w:b/>
      <w:bCs/>
      <w:sz w:val="32"/>
      <w:szCs w:val="32"/>
    </w:rPr>
  </w:style>
  <w:style w:type="character" w:customStyle="1" w:styleId="43">
    <w:name w:val="批注文字 字符"/>
    <w:link w:val="7"/>
    <w:qFormat/>
    <w:uiPriority w:val="99"/>
    <w:rPr>
      <w:rFonts w:cs="Times New Roman"/>
      <w:sz w:val="24"/>
      <w:szCs w:val="24"/>
    </w:rPr>
  </w:style>
  <w:style w:type="character" w:customStyle="1" w:styleId="44">
    <w:name w:val="正文文本 字符"/>
    <w:link w:val="8"/>
    <w:qFormat/>
    <w:uiPriority w:val="99"/>
    <w:rPr>
      <w:rFonts w:cs="Times New Roman"/>
      <w:sz w:val="24"/>
      <w:szCs w:val="24"/>
    </w:rPr>
  </w:style>
  <w:style w:type="character" w:customStyle="1" w:styleId="45">
    <w:name w:val="正文文本缩进 字符"/>
    <w:link w:val="9"/>
    <w:qFormat/>
    <w:uiPriority w:val="99"/>
    <w:rPr>
      <w:rFonts w:cs="Times New Roman"/>
      <w:sz w:val="24"/>
      <w:szCs w:val="24"/>
    </w:rPr>
  </w:style>
  <w:style w:type="character" w:customStyle="1" w:styleId="46">
    <w:name w:val="纯文本 字符"/>
    <w:link w:val="11"/>
    <w:qFormat/>
    <w:uiPriority w:val="99"/>
    <w:rPr>
      <w:rFonts w:ascii="宋体" w:hAnsi="Courier New" w:cs="Courier New"/>
      <w:sz w:val="21"/>
      <w:szCs w:val="21"/>
    </w:rPr>
  </w:style>
  <w:style w:type="character" w:customStyle="1" w:styleId="47">
    <w:name w:val="正文文本缩进 2 字符"/>
    <w:link w:val="13"/>
    <w:qFormat/>
    <w:uiPriority w:val="99"/>
    <w:rPr>
      <w:rFonts w:cs="Times New Roman"/>
      <w:sz w:val="24"/>
      <w:szCs w:val="24"/>
    </w:rPr>
  </w:style>
  <w:style w:type="character" w:customStyle="1" w:styleId="48">
    <w:name w:val="页脚 字符"/>
    <w:link w:val="15"/>
    <w:qFormat/>
    <w:uiPriority w:val="99"/>
    <w:rPr>
      <w:rFonts w:cs="Times New Roman"/>
      <w:sz w:val="18"/>
      <w:szCs w:val="18"/>
    </w:rPr>
  </w:style>
  <w:style w:type="character" w:customStyle="1" w:styleId="49">
    <w:name w:val="页眉 字符"/>
    <w:link w:val="16"/>
    <w:qFormat/>
    <w:uiPriority w:val="99"/>
    <w:rPr>
      <w:rFonts w:cs="Times New Roman"/>
      <w:sz w:val="18"/>
      <w:szCs w:val="18"/>
    </w:rPr>
  </w:style>
  <w:style w:type="character" w:customStyle="1" w:styleId="50">
    <w:name w:val="正文文本首行缩进 字符"/>
    <w:link w:val="21"/>
    <w:qFormat/>
    <w:uiPriority w:val="99"/>
    <w:rPr>
      <w:rFonts w:cs="Times New Roman"/>
      <w:sz w:val="24"/>
      <w:szCs w:val="24"/>
    </w:rPr>
  </w:style>
  <w:style w:type="character" w:customStyle="1" w:styleId="51">
    <w:name w:val="正文文本首行缩进 2 字符"/>
    <w:link w:val="22"/>
    <w:qFormat/>
    <w:uiPriority w:val="99"/>
    <w:rPr>
      <w:rFonts w:cs="Times New Roman"/>
      <w:sz w:val="24"/>
      <w:szCs w:val="24"/>
    </w:rPr>
  </w:style>
  <w:style w:type="paragraph" w:customStyle="1" w:styleId="52">
    <w:name w:val="Char Char Char Char"/>
    <w:basedOn w:val="1"/>
    <w:qFormat/>
    <w:uiPriority w:val="99"/>
    <w:rPr>
      <w:rFonts w:ascii="Tahoma" w:hAnsi="Tahoma"/>
      <w:sz w:val="24"/>
      <w:szCs w:val="20"/>
    </w:rPr>
  </w:style>
  <w:style w:type="paragraph" w:customStyle="1" w:styleId="5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4">
    <w:name w:val="样式3"/>
    <w:basedOn w:val="11"/>
    <w:qFormat/>
    <w:uiPriority w:val="99"/>
    <w:pPr>
      <w:spacing w:line="240" w:lineRule="atLeast"/>
      <w:outlineLvl w:val="0"/>
    </w:pPr>
    <w:rPr>
      <w:sz w:val="28"/>
      <w:szCs w:val="20"/>
    </w:rPr>
  </w:style>
  <w:style w:type="paragraph" w:customStyle="1" w:styleId="55">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c-icon"/>
    <w:qFormat/>
    <w:uiPriority w:val="99"/>
    <w:rPr>
      <w:rFonts w:cs="Times New Roman"/>
    </w:rPr>
  </w:style>
  <w:style w:type="character" w:customStyle="1" w:styleId="57">
    <w:name w:val="input_span1"/>
    <w:qFormat/>
    <w:uiPriority w:val="99"/>
    <w:rPr>
      <w:rFonts w:cs="Times New Roman"/>
      <w:bdr w:val="single" w:color="9B9B9B" w:sz="6" w:space="0"/>
    </w:rPr>
  </w:style>
  <w:style w:type="character" w:customStyle="1" w:styleId="58">
    <w:name w:val="col3"/>
    <w:qFormat/>
    <w:uiPriority w:val="99"/>
    <w:rPr>
      <w:rFonts w:cs="Times New Roman"/>
    </w:rPr>
  </w:style>
  <w:style w:type="character" w:customStyle="1" w:styleId="59">
    <w:name w:val="inputhighlight"/>
    <w:qFormat/>
    <w:uiPriority w:val="99"/>
    <w:rPr>
      <w:rFonts w:cs="Times New Roman"/>
    </w:rPr>
  </w:style>
  <w:style w:type="character" w:customStyle="1" w:styleId="60">
    <w:name w:val="col1"/>
    <w:qFormat/>
    <w:uiPriority w:val="99"/>
    <w:rPr>
      <w:rFonts w:cs="Times New Roman"/>
    </w:rPr>
  </w:style>
  <w:style w:type="character" w:customStyle="1" w:styleId="61">
    <w:name w:val="remainvalue"/>
    <w:qFormat/>
    <w:uiPriority w:val="99"/>
    <w:rPr>
      <w:rFonts w:ascii="微软雅黑" w:hAnsi="微软雅黑" w:eastAsia="微软雅黑" w:cs="微软雅黑"/>
      <w:b/>
      <w:color w:val="FF0000"/>
      <w:sz w:val="30"/>
      <w:szCs w:val="30"/>
    </w:rPr>
  </w:style>
  <w:style w:type="character" w:customStyle="1" w:styleId="62">
    <w:name w:val="gjfg"/>
    <w:qFormat/>
    <w:uiPriority w:val="99"/>
    <w:rPr>
      <w:rFonts w:cs="Times New Roman"/>
    </w:rPr>
  </w:style>
  <w:style w:type="character" w:customStyle="1" w:styleId="63">
    <w:name w:val="redfilefwwh"/>
    <w:qFormat/>
    <w:uiPriority w:val="99"/>
    <w:rPr>
      <w:rFonts w:cs="Times New Roman"/>
      <w:color w:val="BA2636"/>
      <w:sz w:val="18"/>
      <w:szCs w:val="18"/>
    </w:rPr>
  </w:style>
  <w:style w:type="character" w:customStyle="1" w:styleId="64">
    <w:name w:val="redfilenumber"/>
    <w:qFormat/>
    <w:uiPriority w:val="99"/>
    <w:rPr>
      <w:rFonts w:cs="Times New Roman"/>
      <w:color w:val="BA2636"/>
      <w:sz w:val="18"/>
      <w:szCs w:val="18"/>
    </w:rPr>
  </w:style>
  <w:style w:type="character" w:customStyle="1" w:styleId="65">
    <w:name w:val="qxdate"/>
    <w:qFormat/>
    <w:uiPriority w:val="99"/>
    <w:rPr>
      <w:rFonts w:cs="Times New Roman"/>
      <w:color w:val="333333"/>
      <w:sz w:val="18"/>
      <w:szCs w:val="18"/>
    </w:rPr>
  </w:style>
  <w:style w:type="character" w:customStyle="1" w:styleId="66">
    <w:name w:val="displayarti"/>
    <w:qFormat/>
    <w:uiPriority w:val="99"/>
    <w:rPr>
      <w:rFonts w:cs="Times New Roman"/>
      <w:color w:val="FFFFFF"/>
      <w:shd w:val="clear" w:color="auto" w:fill="A00000"/>
    </w:rPr>
  </w:style>
  <w:style w:type="character" w:customStyle="1" w:styleId="67">
    <w:name w:val="cfdate"/>
    <w:qFormat/>
    <w:uiPriority w:val="99"/>
    <w:rPr>
      <w:rFonts w:cs="Times New Roman"/>
      <w:color w:val="333333"/>
      <w:sz w:val="18"/>
      <w:szCs w:val="18"/>
    </w:rPr>
  </w:style>
  <w:style w:type="character" w:customStyle="1" w:styleId="68">
    <w:name w:val="批注框文本 字符"/>
    <w:link w:val="14"/>
    <w:qFormat/>
    <w:uiPriority w:val="99"/>
    <w:rPr>
      <w:rFonts w:cs="Times New Roman"/>
      <w:sz w:val="2"/>
    </w:rPr>
  </w:style>
  <w:style w:type="paragraph" w:customStyle="1" w:styleId="69">
    <w:name w:val="1正文-lcx"/>
    <w:basedOn w:val="1"/>
    <w:qFormat/>
    <w:uiPriority w:val="0"/>
    <w:pPr>
      <w:spacing w:line="480" w:lineRule="exact"/>
      <w:ind w:firstLine="200"/>
    </w:pPr>
    <w:rPr>
      <w:sz w:val="28"/>
      <w:szCs w:val="28"/>
    </w:rPr>
  </w:style>
  <w:style w:type="paragraph" w:customStyle="1" w:styleId="70">
    <w:name w:val="列出段落1"/>
    <w:basedOn w:val="1"/>
    <w:qFormat/>
    <w:uiPriority w:val="0"/>
    <w:pPr>
      <w:ind w:firstLine="420" w:firstLineChars="200"/>
    </w:pPr>
  </w:style>
  <w:style w:type="paragraph" w:styleId="71">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2">
    <w:name w:val="纯文本2"/>
    <w:basedOn w:val="1"/>
    <w:qFormat/>
    <w:uiPriority w:val="0"/>
    <w:rPr>
      <w:rFonts w:ascii="宋体" w:hAnsi="Courier New" w:cs="Courier New"/>
      <w:szCs w:val="21"/>
    </w:rPr>
  </w:style>
  <w:style w:type="character" w:customStyle="1" w:styleId="73">
    <w:name w:val="标题 1 字符1"/>
    <w:basedOn w:val="26"/>
    <w:link w:val="3"/>
    <w:qFormat/>
    <w:uiPriority w:val="0"/>
    <w:rPr>
      <w:rFonts w:hint="default" w:ascii="Times New Roman" w:hAnsi="Times New Roman" w:eastAsia="宋体" w:cs="Times New Roman"/>
      <w:b/>
      <w:kern w:val="44"/>
      <w:sz w:val="44"/>
      <w:szCs w:val="44"/>
    </w:rPr>
  </w:style>
  <w:style w:type="character" w:customStyle="1" w:styleId="74">
    <w:name w:val="15"/>
    <w:basedOn w:val="26"/>
    <w:qFormat/>
    <w:uiPriority w:val="0"/>
    <w:rPr>
      <w:rFonts w:hint="default" w:ascii="Times New Roman" w:hAnsi="Times New Roman" w:cs="Times New Roman"/>
    </w:rPr>
  </w:style>
  <w:style w:type="paragraph" w:customStyle="1" w:styleId="75">
    <w:name w:val="正文首缩两字"/>
    <w:basedOn w:val="1"/>
    <w:qFormat/>
    <w:uiPriority w:val="0"/>
    <w:pPr>
      <w:spacing w:line="360" w:lineRule="auto"/>
      <w:ind w:firstLine="200" w:firstLineChars="200"/>
    </w:pPr>
    <w:rPr>
      <w:rFonts w:ascii="Verdana" w:hAnsi="Verdana"/>
      <w:sz w:val="24"/>
    </w:rPr>
  </w:style>
  <w:style w:type="character" w:customStyle="1" w:styleId="76">
    <w:name w:val="font31"/>
    <w:basedOn w:val="26"/>
    <w:qFormat/>
    <w:uiPriority w:val="0"/>
    <w:rPr>
      <w:rFonts w:hint="eastAsia" w:ascii="宋体" w:hAnsi="宋体" w:eastAsia="宋体" w:cs="宋体"/>
      <w:color w:val="FF0000"/>
      <w:sz w:val="24"/>
      <w:szCs w:val="24"/>
      <w:u w:val="none"/>
    </w:rPr>
  </w:style>
  <w:style w:type="character" w:customStyle="1" w:styleId="77">
    <w:name w:val="font41"/>
    <w:basedOn w:val="26"/>
    <w:qFormat/>
    <w:uiPriority w:val="0"/>
    <w:rPr>
      <w:rFonts w:hint="default" w:ascii="Times New Roman" w:hAnsi="Times New Roman" w:cs="Times New Roman"/>
      <w:color w:val="FF0000"/>
      <w:sz w:val="24"/>
      <w:szCs w:val="24"/>
      <w:u w:val="none"/>
    </w:rPr>
  </w:style>
  <w:style w:type="character" w:customStyle="1" w:styleId="78">
    <w:name w:val="font111"/>
    <w:basedOn w:val="26"/>
    <w:qFormat/>
    <w:uiPriority w:val="0"/>
    <w:rPr>
      <w:rFonts w:hint="default" w:ascii="等线" w:hAnsi="等线" w:eastAsia="等线" w:cs="等线"/>
      <w:color w:val="FF0000"/>
      <w:sz w:val="24"/>
      <w:szCs w:val="24"/>
      <w:u w:val="none"/>
    </w:rPr>
  </w:style>
  <w:style w:type="character" w:customStyle="1" w:styleId="79">
    <w:name w:val="+正文 Char Char4"/>
    <w:qFormat/>
    <w:uiPriority w:val="0"/>
    <w:rPr>
      <w:rFonts w:eastAsia="宋体"/>
      <w:kern w:val="2"/>
      <w:sz w:val="24"/>
      <w:szCs w:val="24"/>
      <w:lang w:val="en-US" w:eastAsia="zh-CN" w:bidi="ar-SA"/>
    </w:rPr>
  </w:style>
  <w:style w:type="paragraph" w:customStyle="1" w:styleId="80">
    <w:name w:val="zz正文"/>
    <w:basedOn w:val="1"/>
    <w:qFormat/>
    <w:uiPriority w:val="0"/>
    <w:pPr>
      <w:adjustRightInd w:val="0"/>
      <w:snapToGrid w:val="0"/>
      <w:ind w:firstLine="200" w:firstLineChars="200"/>
      <w:textAlignment w:val="center"/>
    </w:pPr>
    <w:rPr>
      <w:rFonts w:cs="宋体"/>
      <w:szCs w:val="20"/>
    </w:rPr>
  </w:style>
  <w:style w:type="paragraph" w:customStyle="1" w:styleId="81">
    <w:name w:val="+正文"/>
    <w:basedOn w:val="1"/>
    <w:qFormat/>
    <w:uiPriority w:val="0"/>
    <w:pPr>
      <w:ind w:firstLine="200" w:firstLineChars="200"/>
    </w:pPr>
    <w:rPr>
      <w:szCs w:val="28"/>
    </w:rPr>
  </w:style>
  <w:style w:type="paragraph" w:customStyle="1" w:styleId="82">
    <w:name w:val="彩色列表1"/>
    <w:basedOn w:val="1"/>
    <w:qFormat/>
    <w:uiPriority w:val="34"/>
    <w:pPr>
      <w:ind w:firstLine="420" w:firstLineChars="200"/>
    </w:pPr>
  </w:style>
  <w:style w:type="character" w:customStyle="1" w:styleId="83">
    <w:name w:val="font61"/>
    <w:basedOn w:val="26"/>
    <w:qFormat/>
    <w:uiPriority w:val="0"/>
    <w:rPr>
      <w:rFonts w:hint="eastAsia" w:ascii="宋体" w:hAnsi="宋体" w:eastAsia="宋体" w:cs="宋体"/>
      <w:color w:val="auto"/>
      <w:sz w:val="16"/>
      <w:szCs w:val="16"/>
      <w:u w:val="none"/>
    </w:rPr>
  </w:style>
  <w:style w:type="paragraph" w:customStyle="1" w:styleId="84">
    <w:name w:val="Char Char1 Char Char Char"/>
    <w:basedOn w:val="1"/>
    <w:qFormat/>
    <w:uiPriority w:val="0"/>
    <w:rPr>
      <w:kern w:val="0"/>
      <w:sz w:val="20"/>
      <w:szCs w:val="20"/>
    </w:rPr>
  </w:style>
  <w:style w:type="paragraph" w:customStyle="1" w:styleId="85">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6">
    <w:name w:val="Heading #3|1"/>
    <w:basedOn w:val="1"/>
    <w:qFormat/>
    <w:uiPriority w:val="0"/>
    <w:pPr>
      <w:spacing w:after="100"/>
      <w:outlineLvl w:val="2"/>
    </w:pPr>
    <w:rPr>
      <w:rFonts w:ascii="宋体" w:hAnsi="宋体" w:cs="宋体"/>
      <w:lang w:val="zh-TW" w:eastAsia="zh-TW" w:bidi="zh-TW"/>
    </w:rPr>
  </w:style>
  <w:style w:type="paragraph" w:customStyle="1" w:styleId="87">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8">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9">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90">
    <w:name w:val="网格型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1">
    <w:name w:val="NormalCharacter"/>
    <w:qFormat/>
    <w:uiPriority w:val="0"/>
    <w:rPr>
      <w:kern w:val="2"/>
      <w:sz w:val="21"/>
      <w:szCs w:val="24"/>
      <w:lang w:val="en-US" w:eastAsia="zh-CN" w:bidi="ar-SA"/>
    </w:rPr>
  </w:style>
  <w:style w:type="paragraph" w:customStyle="1" w:styleId="92">
    <w:name w:val="文档正文"/>
    <w:basedOn w:val="1"/>
    <w:qFormat/>
    <w:uiPriority w:val="0"/>
    <w:pPr>
      <w:adjustRightInd w:val="0"/>
      <w:spacing w:afterLines="100" w:line="360" w:lineRule="auto"/>
      <w:ind w:firstLine="567"/>
      <w:textAlignment w:val="baseline"/>
    </w:pPr>
    <w:rPr>
      <w:rFonts w:ascii="Arial" w:hAnsi="Arial"/>
      <w:kern w:val="0"/>
      <w:sz w:val="24"/>
      <w:szCs w:val="20"/>
    </w:rPr>
  </w:style>
  <w:style w:type="paragraph" w:customStyle="1" w:styleId="93">
    <w:name w:val="Normal Indent1"/>
    <w:basedOn w:val="1"/>
    <w:qFormat/>
    <w:uiPriority w:val="0"/>
    <w:pPr>
      <w:ind w:firstLine="420" w:firstLineChars="200"/>
    </w:pPr>
  </w:style>
  <w:style w:type="paragraph" w:styleId="94">
    <w:name w:val="List Paragraph"/>
    <w:basedOn w:val="1"/>
    <w:unhideWhenUsed/>
    <w:qFormat/>
    <w:uiPriority w:val="99"/>
    <w:pPr>
      <w:ind w:firstLine="420" w:firstLineChars="200"/>
    </w:pPr>
  </w:style>
  <w:style w:type="paragraph" w:customStyle="1" w:styleId="95">
    <w:name w:val="Table Paragraph"/>
    <w:basedOn w:val="1"/>
    <w:qFormat/>
    <w:uiPriority w:val="1"/>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Template>
  <Pages>89</Pages>
  <Words>48530</Words>
  <Characters>50039</Characters>
  <Lines>387</Lines>
  <Paragraphs>108</Paragraphs>
  <TotalTime>2</TotalTime>
  <ScaleCrop>false</ScaleCrop>
  <LinksUpToDate>false</LinksUpToDate>
  <CharactersWithSpaces>52162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2022-10-17T03:53:00Z</dcterms:created>
  <dc:creator>pc</dc:creator>
  <cp:lastModifiedBy>Administrator</cp:lastModifiedBy>
  <cp:lastPrinted>2022-11-14T02:34:00Z</cp:lastPrinted>
  <dcterms:modified xsi:type="dcterms:W3CDTF">2022-11-24T01:21:41Z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B2C6A04315B74961A06A909C7186FE94</vt:lpwstr>
  </property>
</Properties>
</file>