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eastAsia"/>
        </w:rPr>
      </w:pPr>
      <w:bookmarkStart w:id="0" w:name="_GoBack"/>
      <w:r>
        <w:rPr>
          <w:rFonts w:hint="eastAsia"/>
          <w:lang w:val="en-US" w:eastAsia="zh-CN"/>
        </w:rPr>
        <w:t>陶艺实训室实训设备</w:t>
      </w:r>
      <w:r>
        <w:rPr>
          <w:rFonts w:hint="eastAsia"/>
        </w:rPr>
        <w:t>采购项目</w:t>
      </w:r>
    </w:p>
    <w:bookmarkEnd w:id="0"/>
    <w:p>
      <w:pPr>
        <w:spacing w:line="400" w:lineRule="exact"/>
        <w:rPr>
          <w:rFonts w:ascii="宋体" w:hAnsi="宋体"/>
          <w:b/>
          <w:sz w:val="24"/>
        </w:rPr>
      </w:pPr>
      <w:r>
        <w:rPr>
          <w:rFonts w:hint="eastAsia" w:ascii="宋体" w:hAnsi="宋体"/>
          <w:b/>
          <w:sz w:val="24"/>
        </w:rPr>
        <w:t>一、项目概况</w:t>
      </w:r>
    </w:p>
    <w:p>
      <w:pPr>
        <w:spacing w:line="400" w:lineRule="exact"/>
        <w:ind w:firstLine="480" w:firstLineChars="200"/>
        <w:rPr>
          <w:rFonts w:ascii="宋体" w:hAnsi="宋体"/>
          <w:sz w:val="24"/>
        </w:rPr>
      </w:pPr>
      <w:r>
        <w:rPr>
          <w:rFonts w:hint="eastAsia" w:ascii="宋体" w:hAnsi="宋体"/>
          <w:sz w:val="24"/>
        </w:rPr>
        <w:t>陶艺实训室占地面积</w:t>
      </w:r>
      <w:r>
        <w:rPr>
          <w:rFonts w:ascii="宋体" w:hAnsi="宋体"/>
          <w:sz w:val="24"/>
        </w:rPr>
        <w:t>2</w:t>
      </w:r>
      <w:r>
        <w:rPr>
          <w:rFonts w:hint="eastAsia" w:ascii="宋体" w:hAnsi="宋体"/>
          <w:sz w:val="24"/>
        </w:rPr>
        <w:t>00平方米。该实训室的建设目标是建设成为省内高职学校一流水平的手作类实训基地，争取建成后成为莆田市公共实训基地。</w:t>
      </w:r>
    </w:p>
    <w:p>
      <w:pPr>
        <w:spacing w:line="400" w:lineRule="exact"/>
        <w:ind w:firstLine="480" w:firstLineChars="200"/>
        <w:rPr>
          <w:rFonts w:ascii="宋体" w:hAnsi="宋体"/>
          <w:sz w:val="24"/>
        </w:rPr>
      </w:pPr>
      <w:r>
        <w:rPr>
          <w:rFonts w:hint="eastAsia" w:ascii="宋体" w:hAnsi="宋体"/>
          <w:sz w:val="24"/>
        </w:rPr>
        <w:t>陶艺实训室的主要功能是专业服务于工艺美术学院五大专业有关开展陶艺选修、产品设计、工艺品制作、材料与工艺、毕业创作等专业课程；服务全学院劳动教育和三全育人项目开展；开展文化创意大赛及文化创意产创中心的相关培训。</w:t>
      </w:r>
    </w:p>
    <w:p>
      <w:pPr>
        <w:spacing w:line="400" w:lineRule="exact"/>
        <w:rPr>
          <w:rFonts w:ascii="宋体" w:hAnsi="宋体"/>
          <w:b/>
          <w:sz w:val="24"/>
        </w:rPr>
      </w:pPr>
      <w:r>
        <w:rPr>
          <w:rFonts w:hint="eastAsia" w:ascii="宋体" w:hAnsi="宋体"/>
          <w:b/>
          <w:sz w:val="24"/>
        </w:rPr>
        <w:t>二、实训设备采购的必要性</w:t>
      </w:r>
    </w:p>
    <w:p>
      <w:pPr>
        <w:spacing w:line="400" w:lineRule="exact"/>
        <w:ind w:firstLine="480" w:firstLineChars="200"/>
        <w:rPr>
          <w:rFonts w:ascii="宋体" w:hAnsi="宋体"/>
          <w:sz w:val="24"/>
        </w:rPr>
      </w:pPr>
      <w:r>
        <w:rPr>
          <w:rFonts w:hint="eastAsia" w:ascii="宋体" w:hAnsi="宋体"/>
          <w:sz w:val="24"/>
        </w:rPr>
        <w:t>（一）现有设备在产、学、研、训、赛、考等各方面的不足</w:t>
      </w:r>
    </w:p>
    <w:p>
      <w:pPr>
        <w:spacing w:line="400" w:lineRule="exact"/>
        <w:ind w:firstLine="480" w:firstLineChars="200"/>
        <w:rPr>
          <w:rFonts w:ascii="宋体" w:hAnsi="宋体"/>
          <w:sz w:val="24"/>
        </w:rPr>
      </w:pPr>
      <w:r>
        <w:rPr>
          <w:rFonts w:hint="eastAsia" w:ascii="宋体" w:hAnsi="宋体"/>
          <w:sz w:val="24"/>
        </w:rPr>
        <w:t>1.该实训室内缺少信息化教学设备，例如智能多媒体教学设备、WIFI设备、音箱设备。在教学上不便实施理论+实践教学方式的开展。</w:t>
      </w:r>
    </w:p>
    <w:p>
      <w:pPr>
        <w:spacing w:line="400" w:lineRule="exact"/>
        <w:ind w:firstLine="480" w:firstLineChars="200"/>
        <w:rPr>
          <w:rFonts w:ascii="宋体" w:hAnsi="宋体"/>
          <w:sz w:val="24"/>
        </w:rPr>
      </w:pPr>
      <w:r>
        <w:rPr>
          <w:rFonts w:hint="eastAsia" w:ascii="宋体" w:hAnsi="宋体"/>
          <w:sz w:val="24"/>
        </w:rPr>
        <w:t>2.陶艺实训室设备采购年份较早，并缺少维护和保养，部分设备已经老化陈旧，且设备型号均为国产品牌，设备安全性不高及实用性不足，已经被全国具有相关陶艺实训室的院校所淘汰，不能列入流行的通用设备行列。另外大部分陶艺设备需要重新维护售后，售后费用高，几乎接近新购置的价格。建议适当报废或淘汰此类实验设备。</w:t>
      </w:r>
    </w:p>
    <w:p>
      <w:pPr>
        <w:spacing w:line="400" w:lineRule="exact"/>
        <w:ind w:firstLine="480" w:firstLineChars="200"/>
        <w:rPr>
          <w:rFonts w:ascii="宋体" w:hAnsi="宋体"/>
          <w:sz w:val="24"/>
        </w:rPr>
      </w:pPr>
      <w:r>
        <w:rPr>
          <w:rFonts w:hint="eastAsia" w:ascii="宋体" w:hAnsi="宋体"/>
          <w:sz w:val="24"/>
        </w:rPr>
        <w:t>3.陶艺实训室现有设备以满足不了当下教学质量，且设备少不足与开展相关课程的学生人数所配备的实验设备。</w:t>
      </w:r>
    </w:p>
    <w:p>
      <w:pPr>
        <w:spacing w:line="400" w:lineRule="exact"/>
        <w:ind w:firstLine="480" w:firstLineChars="200"/>
        <w:rPr>
          <w:rFonts w:ascii="宋体" w:hAnsi="宋体"/>
          <w:sz w:val="24"/>
        </w:rPr>
      </w:pPr>
      <w:r>
        <w:rPr>
          <w:rFonts w:hint="eastAsia" w:ascii="宋体" w:hAnsi="宋体"/>
          <w:sz w:val="24"/>
        </w:rPr>
        <w:t>（二）项目实施的必要性，意义和作用</w:t>
      </w:r>
    </w:p>
    <w:p>
      <w:pPr>
        <w:spacing w:line="400" w:lineRule="exact"/>
        <w:ind w:firstLine="480" w:firstLineChars="200"/>
        <w:rPr>
          <w:rFonts w:ascii="宋体" w:hAnsi="宋体"/>
          <w:sz w:val="24"/>
        </w:rPr>
      </w:pPr>
      <w:r>
        <w:rPr>
          <w:rFonts w:hint="eastAsia" w:ascii="宋体" w:hAnsi="宋体"/>
          <w:sz w:val="24"/>
        </w:rPr>
        <w:t>1.新购智能多媒体教学设备，主要包含教学会议一体机多媒体触控智能电视机、无线功放麦克风音箱设备套装、企业级WIFI无线路由器,满足信息化教学需求，便于开展理论+实践教学。</w:t>
      </w:r>
    </w:p>
    <w:p>
      <w:pPr>
        <w:spacing w:line="400" w:lineRule="exact"/>
        <w:ind w:firstLine="480" w:firstLineChars="200"/>
        <w:rPr>
          <w:rFonts w:ascii="宋体" w:hAnsi="宋体"/>
          <w:sz w:val="24"/>
        </w:rPr>
      </w:pPr>
      <w:r>
        <w:rPr>
          <w:rFonts w:hint="eastAsia" w:ascii="宋体" w:hAnsi="宋体"/>
          <w:sz w:val="24"/>
        </w:rPr>
        <w:t>2. 新购陶艺相关设备，补充原有设备的不足，便于陶艺相关课程的开展及训练。另外该设备安全系数相对较高，便于学生操作。</w:t>
      </w:r>
    </w:p>
    <w:p>
      <w:pPr>
        <w:spacing w:line="400" w:lineRule="exact"/>
        <w:rPr>
          <w:rFonts w:ascii="宋体" w:hAnsi="宋体"/>
          <w:b/>
          <w:sz w:val="24"/>
        </w:rPr>
      </w:pPr>
      <w:r>
        <w:rPr>
          <w:rFonts w:hint="eastAsia" w:ascii="宋体" w:hAnsi="宋体"/>
          <w:b/>
          <w:sz w:val="24"/>
        </w:rPr>
        <w:t>三、罗列新设备对应课程及实训项目</w:t>
      </w:r>
    </w:p>
    <w:p>
      <w:pPr>
        <w:spacing w:line="400" w:lineRule="exact"/>
        <w:ind w:firstLine="480" w:firstLineChars="200"/>
        <w:rPr>
          <w:rFonts w:ascii="宋体" w:hAnsi="宋体"/>
          <w:sz w:val="24"/>
        </w:rPr>
      </w:pPr>
      <w:r>
        <w:rPr>
          <w:rFonts w:hint="eastAsia" w:ascii="宋体" w:hAnsi="宋体"/>
          <w:sz w:val="24"/>
        </w:rPr>
        <w:t>（一）本次采购的设备主要是服务于宝玉石鉴定与加工专业、建筑室内设计专业、视觉传播设计与制作、广告设计与制作、艺术设计专业等，以及全学院具有陶艺、产品打样等课程或项目。主要体现在如下几个方面：</w:t>
      </w:r>
    </w:p>
    <w:p>
      <w:pPr>
        <w:spacing w:line="400" w:lineRule="exact"/>
        <w:ind w:firstLine="480" w:firstLineChars="200"/>
        <w:rPr>
          <w:rFonts w:ascii="宋体" w:hAnsi="宋体"/>
          <w:sz w:val="24"/>
        </w:rPr>
      </w:pPr>
      <w:r>
        <w:rPr>
          <w:rFonts w:hint="eastAsia" w:ascii="宋体" w:hAnsi="宋体"/>
          <w:sz w:val="24"/>
        </w:rPr>
        <w:t>①建筑室内设计专业可于此实训室开展立体构成、陶艺选修课程、毕业设计与创作；</w:t>
      </w:r>
    </w:p>
    <w:p>
      <w:pPr>
        <w:spacing w:line="400" w:lineRule="exact"/>
        <w:ind w:firstLine="480" w:firstLineChars="200"/>
        <w:rPr>
          <w:rFonts w:ascii="宋体" w:hAnsi="宋体"/>
          <w:sz w:val="24"/>
        </w:rPr>
      </w:pPr>
      <w:r>
        <w:rPr>
          <w:rFonts w:hint="eastAsia" w:ascii="宋体" w:hAnsi="宋体"/>
          <w:sz w:val="24"/>
        </w:rPr>
        <w:t>②广告设计与制作专业、视觉传播设计与制作专业、宝玉石鉴定与加工专业、艺术设计可于此实训室开展立体构成、首饰制作与材料工艺、包装设计、陶艺选修课程、工艺品设计与制作、毕业设计与创作、材料与工艺课程。</w:t>
      </w:r>
    </w:p>
    <w:p>
      <w:pPr>
        <w:spacing w:line="400" w:lineRule="exact"/>
        <w:ind w:firstLine="480" w:firstLineChars="200"/>
        <w:rPr>
          <w:rFonts w:ascii="宋体" w:hAnsi="宋体"/>
          <w:sz w:val="24"/>
        </w:rPr>
      </w:pPr>
      <w:r>
        <w:rPr>
          <w:rFonts w:hint="eastAsia" w:ascii="宋体" w:hAnsi="宋体"/>
          <w:sz w:val="24"/>
        </w:rPr>
        <w:t>（二）所有专业皆可利用本实训室开展劳动教育和三全育人项目。</w:t>
      </w:r>
    </w:p>
    <w:p>
      <w:pPr>
        <w:spacing w:line="400" w:lineRule="exact"/>
        <w:ind w:firstLine="480" w:firstLineChars="200"/>
        <w:rPr>
          <w:rFonts w:ascii="宋体" w:hAnsi="宋体"/>
          <w:sz w:val="24"/>
        </w:rPr>
      </w:pPr>
      <w:r>
        <w:rPr>
          <w:rFonts w:hint="eastAsia" w:ascii="宋体" w:hAnsi="宋体"/>
          <w:sz w:val="24"/>
        </w:rPr>
        <w:t>（三）三创基地、文化创意产创中心、文化创意相关赛事及陶瓷相关技能竞赛可依托本实训室和设备展开活动和训练。</w:t>
      </w:r>
    </w:p>
    <w:p>
      <w:pPr>
        <w:sectPr>
          <w:pgSz w:w="11906" w:h="16838"/>
          <w:pgMar w:top="1440" w:right="1800" w:bottom="1440" w:left="1800" w:header="851" w:footer="992" w:gutter="0"/>
          <w:cols w:space="425" w:num="1"/>
          <w:docGrid w:type="lines" w:linePitch="312" w:charSpace="0"/>
        </w:sectPr>
      </w:pPr>
    </w:p>
    <w:p>
      <w:pPr>
        <w:rPr>
          <w:rFonts w:ascii="宋体" w:hAnsi="宋体"/>
          <w:sz w:val="24"/>
        </w:rPr>
      </w:pPr>
    </w:p>
    <w:p>
      <w:pPr>
        <w:spacing w:line="360" w:lineRule="auto"/>
        <w:jc w:val="center"/>
        <w:rPr>
          <w:rFonts w:ascii="宋体" w:hAnsi="宋体"/>
          <w:b/>
          <w:sz w:val="24"/>
        </w:rPr>
      </w:pPr>
      <w:r>
        <w:rPr>
          <w:rFonts w:hint="eastAsia" w:ascii="宋体" w:hAnsi="宋体"/>
          <w:b/>
          <w:sz w:val="24"/>
          <w:lang w:val="en-US" w:eastAsia="zh-CN"/>
        </w:rPr>
        <w:t>陶艺实训室</w:t>
      </w:r>
      <w:r>
        <w:rPr>
          <w:rFonts w:hint="eastAsia" w:ascii="宋体" w:hAnsi="宋体"/>
          <w:b/>
          <w:sz w:val="24"/>
        </w:rPr>
        <w:t>实训设备采购项目购置清单预算</w:t>
      </w:r>
    </w:p>
    <w:tbl>
      <w:tblPr>
        <w:tblStyle w:val="7"/>
        <w:tblW w:w="12911" w:type="dxa"/>
        <w:jc w:val="center"/>
        <w:tblLayout w:type="fixed"/>
        <w:tblCellMar>
          <w:top w:w="0" w:type="dxa"/>
          <w:left w:w="108" w:type="dxa"/>
          <w:bottom w:w="0" w:type="dxa"/>
          <w:right w:w="108" w:type="dxa"/>
        </w:tblCellMar>
      </w:tblPr>
      <w:tblGrid>
        <w:gridCol w:w="659"/>
        <w:gridCol w:w="1290"/>
        <w:gridCol w:w="5159"/>
        <w:gridCol w:w="806"/>
        <w:gridCol w:w="1128"/>
        <w:gridCol w:w="1451"/>
        <w:gridCol w:w="1225"/>
        <w:gridCol w:w="1193"/>
      </w:tblGrid>
      <w:tr>
        <w:tblPrEx>
          <w:tblCellMar>
            <w:top w:w="0" w:type="dxa"/>
            <w:left w:w="108" w:type="dxa"/>
            <w:bottom w:w="0" w:type="dxa"/>
            <w:right w:w="108" w:type="dxa"/>
          </w:tblCellMar>
        </w:tblPrEx>
        <w:trPr>
          <w:trHeight w:val="737" w:hRule="atLeast"/>
          <w:jc w:val="center"/>
        </w:trPr>
        <w:tc>
          <w:tcPr>
            <w:tcW w:w="659" w:type="dxa"/>
            <w:tcBorders>
              <w:top w:val="single" w:color="auto" w:sz="12" w:space="0"/>
              <w:left w:val="single" w:color="auto" w:sz="12" w:space="0"/>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90" w:type="dxa"/>
            <w:tcBorders>
              <w:top w:val="single" w:color="auto" w:sz="12" w:space="0"/>
              <w:left w:val="nil"/>
              <w:bottom w:val="single" w:color="auto" w:sz="4" w:space="0"/>
              <w:right w:val="single" w:color="000000"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设备名称</w:t>
            </w:r>
          </w:p>
        </w:tc>
        <w:tc>
          <w:tcPr>
            <w:tcW w:w="5159" w:type="dxa"/>
            <w:tcBorders>
              <w:top w:val="single" w:color="auto" w:sz="12" w:space="0"/>
              <w:left w:val="nil"/>
              <w:bottom w:val="single" w:color="auto" w:sz="4" w:space="0"/>
              <w:right w:val="single" w:color="auto" w:sz="4" w:space="0"/>
            </w:tcBorders>
            <w:shd w:val="clear" w:color="auto" w:fill="E0E0E0"/>
            <w:vAlign w:val="center"/>
          </w:tcPr>
          <w:p>
            <w:pPr>
              <w:widowControl/>
              <w:jc w:val="center"/>
              <w:rPr>
                <w:rFonts w:ascii="宋体" w:hAnsi="宋体" w:cs="宋体"/>
                <w:kern w:val="0"/>
                <w:szCs w:val="21"/>
              </w:rPr>
            </w:pPr>
            <w:r>
              <w:rPr>
                <w:rFonts w:hint="eastAsia" w:ascii="宋体" w:hAnsi="宋体" w:cs="宋体"/>
                <w:kern w:val="0"/>
                <w:szCs w:val="21"/>
              </w:rPr>
              <w:t>规格、型号</w:t>
            </w:r>
            <w:r>
              <w:rPr>
                <w:rFonts w:hint="eastAsia" w:ascii="宋体" w:hAnsi="宋体" w:cs="宋体"/>
                <w:bCs/>
                <w:kern w:val="0"/>
                <w:szCs w:val="21"/>
              </w:rPr>
              <w:t>（主要技术参数）</w:t>
            </w:r>
          </w:p>
        </w:tc>
        <w:tc>
          <w:tcPr>
            <w:tcW w:w="806" w:type="dxa"/>
            <w:tcBorders>
              <w:top w:val="single" w:color="auto" w:sz="12" w:space="0"/>
              <w:left w:val="nil"/>
              <w:bottom w:val="single" w:color="auto" w:sz="4" w:space="0"/>
              <w:right w:val="single" w:color="auto" w:sz="4" w:space="0"/>
            </w:tcBorders>
            <w:shd w:val="clear" w:color="auto" w:fill="E0E0E0"/>
            <w:vAlign w:val="center"/>
          </w:tcPr>
          <w:p>
            <w:pPr>
              <w:jc w:val="center"/>
              <w:rPr>
                <w:rFonts w:ascii="宋体" w:hAnsi="宋体" w:cs="宋体"/>
                <w:bCs/>
                <w:kern w:val="0"/>
                <w:szCs w:val="21"/>
              </w:rPr>
            </w:pPr>
            <w:r>
              <w:rPr>
                <w:rFonts w:hint="eastAsia" w:ascii="宋体" w:hAnsi="宋体" w:cs="宋体"/>
                <w:bCs/>
                <w:kern w:val="0"/>
                <w:szCs w:val="21"/>
              </w:rPr>
              <w:t>数量</w:t>
            </w:r>
          </w:p>
        </w:tc>
        <w:tc>
          <w:tcPr>
            <w:tcW w:w="1128" w:type="dxa"/>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w:t>
            </w:r>
          </w:p>
          <w:p>
            <w:pPr>
              <w:tabs>
                <w:tab w:val="left" w:pos="6840"/>
              </w:tabs>
              <w:jc w:val="center"/>
              <w:rPr>
                <w:caps/>
              </w:rPr>
            </w:pPr>
            <w:r>
              <w:rPr>
                <w:rFonts w:hint="eastAsia"/>
                <w:caps/>
              </w:rPr>
              <w:t>（元）</w:t>
            </w:r>
          </w:p>
        </w:tc>
        <w:tc>
          <w:tcPr>
            <w:tcW w:w="1451" w:type="dxa"/>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单价来源</w:t>
            </w:r>
          </w:p>
        </w:tc>
        <w:tc>
          <w:tcPr>
            <w:tcW w:w="1225" w:type="dxa"/>
            <w:tcBorders>
              <w:top w:val="single" w:color="auto" w:sz="12" w:space="0"/>
              <w:left w:val="nil"/>
              <w:bottom w:val="single" w:color="auto" w:sz="4" w:space="0"/>
              <w:right w:val="single" w:color="auto" w:sz="4" w:space="0"/>
            </w:tcBorders>
            <w:shd w:val="clear" w:color="auto" w:fill="E0E0E0"/>
            <w:vAlign w:val="center"/>
          </w:tcPr>
          <w:p>
            <w:pPr>
              <w:tabs>
                <w:tab w:val="left" w:pos="6840"/>
              </w:tabs>
              <w:jc w:val="center"/>
              <w:rPr>
                <w:caps/>
              </w:rPr>
            </w:pPr>
            <w:r>
              <w:rPr>
                <w:rFonts w:hint="eastAsia"/>
                <w:caps/>
              </w:rPr>
              <w:t>金额</w:t>
            </w:r>
          </w:p>
          <w:p>
            <w:pPr>
              <w:tabs>
                <w:tab w:val="left" w:pos="6840"/>
              </w:tabs>
              <w:jc w:val="center"/>
              <w:rPr>
                <w:caps/>
              </w:rPr>
            </w:pPr>
            <w:r>
              <w:rPr>
                <w:rFonts w:hint="eastAsia"/>
                <w:caps/>
              </w:rPr>
              <w:t>（元）</w:t>
            </w:r>
          </w:p>
        </w:tc>
        <w:tc>
          <w:tcPr>
            <w:tcW w:w="1193" w:type="dxa"/>
            <w:tcBorders>
              <w:top w:val="single" w:color="auto" w:sz="12" w:space="0"/>
              <w:left w:val="nil"/>
              <w:bottom w:val="single" w:color="auto" w:sz="4" w:space="0"/>
              <w:right w:val="single" w:color="auto" w:sz="12" w:space="0"/>
            </w:tcBorders>
            <w:shd w:val="clear" w:color="auto" w:fill="E0E0E0"/>
            <w:vAlign w:val="center"/>
          </w:tcPr>
          <w:p>
            <w:pPr>
              <w:tabs>
                <w:tab w:val="left" w:pos="6840"/>
              </w:tabs>
              <w:jc w:val="center"/>
              <w:rPr>
                <w:caps/>
              </w:rPr>
            </w:pPr>
            <w:r>
              <w:rPr>
                <w:rFonts w:hint="eastAsia"/>
                <w:caps/>
              </w:rPr>
              <w:t>存放位置</w:t>
            </w:r>
          </w:p>
        </w:tc>
      </w:tr>
      <w:tr>
        <w:tblPrEx>
          <w:tblCellMar>
            <w:top w:w="0" w:type="dxa"/>
            <w:left w:w="108" w:type="dxa"/>
            <w:bottom w:w="0" w:type="dxa"/>
            <w:right w:w="108" w:type="dxa"/>
          </w:tblCellMar>
        </w:tblPrEx>
        <w:trPr>
          <w:trHeight w:val="737"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Cs w:val="21"/>
              </w:rPr>
            </w:pPr>
            <w:r>
              <w:rPr>
                <w:rFonts w:hint="eastAsia" w:ascii="宋体" w:hAnsi="宋体" w:cs="宋体"/>
                <w:kern w:val="0"/>
                <w:sz w:val="24"/>
                <w:lang w:bidi="ar"/>
              </w:rPr>
              <w:t>1</w:t>
            </w:r>
          </w:p>
        </w:tc>
        <w:tc>
          <w:tcPr>
            <w:tcW w:w="1290" w:type="dxa"/>
            <w:tcBorders>
              <w:top w:val="single" w:color="auto" w:sz="4" w:space="0"/>
              <w:left w:val="nil"/>
              <w:bottom w:val="single" w:color="auto" w:sz="4" w:space="0"/>
              <w:right w:val="single" w:color="000000" w:sz="4" w:space="0"/>
            </w:tcBorders>
            <w:vAlign w:val="center"/>
          </w:tcPr>
          <w:p>
            <w:pPr>
              <w:widowControl/>
              <w:textAlignment w:val="center"/>
              <w:rPr>
                <w:rFonts w:ascii="宋体" w:hAnsi="宋体" w:cs="宋体"/>
                <w:color w:val="000000"/>
                <w:kern w:val="0"/>
                <w:szCs w:val="22"/>
              </w:rPr>
            </w:pPr>
            <w:r>
              <w:rPr>
                <w:rFonts w:hint="eastAsia" w:ascii="宋体" w:hAnsi="宋体" w:cs="宋体"/>
                <w:color w:val="000000"/>
                <w:kern w:val="0"/>
                <w:sz w:val="22"/>
                <w:szCs w:val="22"/>
                <w:lang w:bidi="ar"/>
              </w:rPr>
              <w:t>100寸教学会议触控智能一体机（含移动支架）</w:t>
            </w:r>
          </w:p>
        </w:tc>
        <w:tc>
          <w:tcPr>
            <w:tcW w:w="515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宋体" w:hAnsi="宋体" w:cs="宋体"/>
                <w:color w:val="000000"/>
                <w:sz w:val="22"/>
                <w:szCs w:val="22"/>
              </w:rPr>
              <w:t>教学一体机智能触控、17处理器、S</w:t>
            </w:r>
            <w:r>
              <w:rPr>
                <w:rFonts w:ascii="宋体" w:hAnsi="宋体" w:cs="宋体"/>
                <w:color w:val="000000"/>
                <w:sz w:val="22"/>
                <w:szCs w:val="22"/>
              </w:rPr>
              <w:t>SD</w:t>
            </w:r>
            <w:r>
              <w:rPr>
                <w:rFonts w:hint="eastAsia" w:ascii="宋体" w:hAnsi="宋体" w:cs="宋体"/>
                <w:color w:val="000000"/>
                <w:sz w:val="22"/>
                <w:szCs w:val="22"/>
              </w:rPr>
              <w:t>256</w:t>
            </w:r>
            <w:r>
              <w:rPr>
                <w:rFonts w:ascii="宋体" w:hAnsi="宋体" w:cs="宋体"/>
                <w:color w:val="000000"/>
                <w:sz w:val="22"/>
                <w:szCs w:val="22"/>
              </w:rPr>
              <w:t>G</w:t>
            </w:r>
            <w:r>
              <w:rPr>
                <w:rFonts w:hint="eastAsia" w:ascii="宋体" w:hAnsi="宋体" w:cs="宋体"/>
                <w:color w:val="000000"/>
                <w:sz w:val="22"/>
                <w:szCs w:val="22"/>
              </w:rPr>
              <w:t>以上固态硬盘</w:t>
            </w:r>
          </w:p>
          <w:p>
            <w:pPr>
              <w:jc w:val="center"/>
              <w:rPr>
                <w:rFonts w:ascii="宋体" w:hAnsi="宋体" w:cs="宋体"/>
                <w:color w:val="000000"/>
                <w:sz w:val="22"/>
                <w:szCs w:val="22"/>
              </w:rPr>
            </w:pPr>
            <w:r>
              <w:rPr>
                <w:rFonts w:hint="eastAsia" w:ascii="宋体" w:hAnsi="宋体" w:cs="宋体"/>
                <w:color w:val="000000"/>
                <w:sz w:val="22"/>
                <w:szCs w:val="22"/>
              </w:rPr>
              <w:t>正版WIN10操作系统、电子白板</w:t>
            </w:r>
          </w:p>
          <w:p>
            <w:pPr>
              <w:jc w:val="center"/>
              <w:rPr>
                <w:rFonts w:hint="eastAsia" w:ascii="宋体" w:hAnsi="宋体" w:cs="宋体"/>
                <w:color w:val="000000"/>
                <w:sz w:val="22"/>
                <w:szCs w:val="22"/>
              </w:rPr>
            </w:pPr>
            <w:r>
              <w:rPr>
                <w:rFonts w:hint="eastAsia" w:ascii="宋体" w:hAnsi="宋体" w:cs="宋体"/>
                <w:color w:val="000000"/>
                <w:sz w:val="22"/>
                <w:szCs w:val="22"/>
              </w:rPr>
              <w:t>无线传屏</w:t>
            </w:r>
            <w:r>
              <w:rPr>
                <w:rFonts w:ascii="宋体" w:hAnsi="宋体" w:cs="宋体"/>
                <w:color w:val="000000"/>
                <w:sz w:val="22"/>
                <w:szCs w:val="22"/>
              </w:rPr>
              <w:t>:</w:t>
            </w:r>
            <w:r>
              <w:rPr>
                <w:rFonts w:hint="eastAsia" w:ascii="宋体" w:hAnsi="宋体" w:cs="宋体"/>
                <w:color w:val="000000"/>
                <w:sz w:val="22"/>
                <w:szCs w:val="22"/>
              </w:rPr>
              <w:t>可支持四台设备同时投屏</w:t>
            </w:r>
          </w:p>
          <w:p>
            <w:pPr>
              <w:jc w:val="center"/>
              <w:rPr>
                <w:rFonts w:ascii="宋体" w:hAnsi="宋体" w:cs="宋体"/>
                <w:color w:val="000000"/>
                <w:sz w:val="22"/>
                <w:szCs w:val="22"/>
              </w:rPr>
            </w:pPr>
            <w:r>
              <w:rPr>
                <w:rFonts w:hint="eastAsia" w:ascii="宋体" w:hAnsi="宋体" w:cs="宋体"/>
                <w:color w:val="000000"/>
                <w:sz w:val="22"/>
                <w:szCs w:val="22"/>
              </w:rPr>
              <w:t>运行内存8</w:t>
            </w:r>
            <w:r>
              <w:rPr>
                <w:rFonts w:ascii="宋体" w:hAnsi="宋体" w:cs="宋体"/>
                <w:color w:val="000000"/>
                <w:sz w:val="22"/>
                <w:szCs w:val="22"/>
              </w:rPr>
              <w:t>G</w:t>
            </w:r>
            <w:r>
              <w:rPr>
                <w:rFonts w:hint="eastAsia" w:ascii="宋体" w:hAnsi="宋体" w:cs="宋体"/>
                <w:color w:val="000000"/>
                <w:sz w:val="22"/>
                <w:szCs w:val="22"/>
              </w:rPr>
              <w:t>以上、速度512M</w:t>
            </w:r>
          </w:p>
          <w:p>
            <w:pPr>
              <w:jc w:val="center"/>
              <w:rPr>
                <w:rFonts w:ascii="宋体" w:hAnsi="宋体" w:cs="宋体"/>
                <w:color w:val="000000"/>
                <w:sz w:val="22"/>
                <w:szCs w:val="22"/>
              </w:rPr>
            </w:pPr>
            <w:r>
              <w:rPr>
                <w:rFonts w:hint="eastAsia" w:ascii="宋体" w:hAnsi="宋体" w:cs="宋体"/>
                <w:color w:val="000000"/>
                <w:sz w:val="22"/>
                <w:szCs w:val="22"/>
              </w:rPr>
              <w:t>Usb接口4个 后接com6个</w:t>
            </w:r>
          </w:p>
          <w:p>
            <w:pPr>
              <w:jc w:val="center"/>
              <w:rPr>
                <w:rFonts w:ascii="宋体" w:hAnsi="宋体" w:cs="宋体"/>
                <w:color w:val="000000"/>
                <w:sz w:val="22"/>
                <w:szCs w:val="22"/>
              </w:rPr>
            </w:pPr>
            <w:r>
              <w:rPr>
                <w:rFonts w:hint="eastAsia" w:ascii="宋体" w:hAnsi="宋体" w:cs="宋体"/>
                <w:color w:val="000000"/>
                <w:sz w:val="22"/>
                <w:szCs w:val="22"/>
              </w:rPr>
              <w:t>CPU：双核、INTER</w:t>
            </w:r>
          </w:p>
          <w:p>
            <w:pPr>
              <w:jc w:val="center"/>
              <w:rPr>
                <w:rFonts w:ascii="宋体" w:hAnsi="宋体" w:cs="宋体"/>
                <w:color w:val="000000"/>
                <w:sz w:val="22"/>
                <w:szCs w:val="22"/>
              </w:rPr>
            </w:pPr>
            <w:r>
              <w:rPr>
                <w:rFonts w:hint="eastAsia" w:ascii="宋体" w:hAnsi="宋体" w:cs="宋体"/>
                <w:color w:val="000000"/>
                <w:sz w:val="22"/>
                <w:szCs w:val="22"/>
              </w:rPr>
              <w:t>4GB以上独立显卡</w:t>
            </w:r>
          </w:p>
          <w:p>
            <w:pPr>
              <w:jc w:val="center"/>
              <w:rPr>
                <w:rFonts w:ascii="宋体" w:hAnsi="宋体" w:cs="宋体"/>
                <w:color w:val="000000"/>
                <w:sz w:val="22"/>
                <w:szCs w:val="22"/>
              </w:rPr>
            </w:pPr>
            <w:r>
              <w:rPr>
                <w:rFonts w:hint="eastAsia" w:ascii="宋体" w:hAnsi="宋体" w:cs="宋体"/>
                <w:color w:val="000000"/>
                <w:sz w:val="22"/>
                <w:szCs w:val="22"/>
              </w:rPr>
              <w:t>显示器尺寸100英寸、分辨率4096*2160</w:t>
            </w:r>
          </w:p>
          <w:p>
            <w:pPr>
              <w:autoSpaceDN w:val="0"/>
              <w:jc w:val="center"/>
              <w:textAlignment w:val="center"/>
              <w:rPr>
                <w:rFonts w:ascii="宋体" w:hAnsi="宋体" w:cs="宋体"/>
                <w:color w:val="000000"/>
                <w:sz w:val="22"/>
                <w:szCs w:val="22"/>
              </w:rPr>
            </w:pPr>
            <w:r>
              <w:rPr>
                <w:rFonts w:hint="eastAsia" w:ascii="宋体" w:hAnsi="宋体" w:cs="宋体"/>
                <w:color w:val="000000"/>
                <w:sz w:val="22"/>
                <w:szCs w:val="22"/>
              </w:rPr>
              <w:t>包安装、售后维修、保修卡，说明书、遥控器、电源线、智能书写笔</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支架：钢管直径50m</w:t>
            </w:r>
            <w:r>
              <w:rPr>
                <w:rFonts w:ascii="宋体" w:hAnsi="宋体" w:cs="宋体"/>
                <w:color w:val="000000"/>
                <w:sz w:val="22"/>
                <w:szCs w:val="22"/>
              </w:rPr>
              <w:t>m</w:t>
            </w:r>
            <w:r>
              <w:rPr>
                <w:rFonts w:hint="eastAsia" w:ascii="宋体" w:hAnsi="宋体" w:cs="宋体"/>
                <w:color w:val="000000"/>
                <w:sz w:val="22"/>
                <w:szCs w:val="22"/>
              </w:rPr>
              <w:t>以上加粗双立柱，表面静电喷涂工艺，防锈防腐蚀加强移动时的稳定性。</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300</w:t>
            </w:r>
            <w:r>
              <w:rPr>
                <w:rFonts w:ascii="宋体" w:hAnsi="宋体" w:cs="宋体"/>
                <w:color w:val="000000"/>
                <w:sz w:val="22"/>
                <w:szCs w:val="22"/>
              </w:rPr>
              <w:t>mm</w:t>
            </w:r>
            <w:r>
              <w:rPr>
                <w:rFonts w:hint="eastAsia" w:ascii="宋体" w:hAnsi="宋体" w:cs="宋体"/>
                <w:color w:val="000000"/>
                <w:sz w:val="22"/>
                <w:szCs w:val="22"/>
              </w:rPr>
              <w:t>升降范围，弹珠每孔可调50</w:t>
            </w:r>
            <w:r>
              <w:rPr>
                <w:rFonts w:ascii="宋体" w:hAnsi="宋体" w:cs="宋体"/>
                <w:color w:val="000000"/>
                <w:sz w:val="22"/>
                <w:szCs w:val="22"/>
              </w:rPr>
              <w:t>mm</w:t>
            </w:r>
            <w:r>
              <w:rPr>
                <w:rFonts w:hint="eastAsia" w:ascii="宋体" w:hAnsi="宋体" w:cs="宋体"/>
                <w:color w:val="000000"/>
                <w:sz w:val="22"/>
                <w:szCs w:val="22"/>
              </w:rPr>
              <w:t>，6档调节满足不同身高人群的需求。</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一体式焊接底座，粉喷，磨砂工艺，高强度加厚，S</w:t>
            </w:r>
            <w:r>
              <w:rPr>
                <w:rFonts w:ascii="宋体" w:hAnsi="宋体" w:cs="宋体"/>
                <w:color w:val="000000"/>
                <w:sz w:val="22"/>
                <w:szCs w:val="22"/>
              </w:rPr>
              <w:t>PCC</w:t>
            </w:r>
            <w:r>
              <w:rPr>
                <w:rFonts w:hint="eastAsia" w:ascii="宋体" w:hAnsi="宋体" w:cs="宋体"/>
                <w:color w:val="000000"/>
                <w:sz w:val="22"/>
                <w:szCs w:val="22"/>
              </w:rPr>
              <w:t>冷轧板打造。</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可升降试听托盘，11.4</w:t>
            </w:r>
            <w:r>
              <w:rPr>
                <w:rFonts w:ascii="宋体" w:hAnsi="宋体" w:cs="宋体"/>
                <w:color w:val="000000"/>
                <w:sz w:val="22"/>
                <w:szCs w:val="22"/>
              </w:rPr>
              <w:t>KG</w:t>
            </w:r>
            <w:r>
              <w:rPr>
                <w:rFonts w:hint="eastAsia" w:ascii="宋体" w:hAnsi="宋体" w:cs="宋体"/>
                <w:color w:val="000000"/>
                <w:sz w:val="22"/>
                <w:szCs w:val="22"/>
              </w:rPr>
              <w:t>承重。</w:t>
            </w:r>
          </w:p>
          <w:p>
            <w:pPr>
              <w:widowControl/>
              <w:jc w:val="center"/>
              <w:textAlignment w:val="center"/>
              <w:rPr>
                <w:rFonts w:ascii="宋体" w:hAnsi="宋体" w:cs="宋体"/>
                <w:color w:val="000000"/>
                <w:kern w:val="0"/>
                <w:szCs w:val="22"/>
              </w:rPr>
            </w:pPr>
            <w:r>
              <w:rPr>
                <w:rFonts w:hint="eastAsia" w:ascii="宋体" w:hAnsi="宋体" w:cs="宋体"/>
                <w:color w:val="000000"/>
                <w:sz w:val="22"/>
                <w:szCs w:val="22"/>
              </w:rPr>
              <w:t>3英寸万向刹车大滑轮</w:t>
            </w: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rPr>
            </w:pPr>
            <w:r>
              <w:rPr>
                <w:rFonts w:hint="eastAsia" w:ascii="宋体" w:hAnsi="宋体" w:cs="宋体"/>
                <w:color w:val="000000"/>
              </w:rPr>
              <w:t>1套</w:t>
            </w:r>
          </w:p>
        </w:tc>
        <w:tc>
          <w:tcPr>
            <w:tcW w:w="1128"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90000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网络询价</w:t>
            </w:r>
          </w:p>
        </w:tc>
        <w:tc>
          <w:tcPr>
            <w:tcW w:w="122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Times New Roman"/>
                <w:kern w:val="2"/>
                <w:sz w:val="21"/>
                <w:szCs w:val="21"/>
                <w:lang w:val="en-US" w:eastAsia="zh-CN" w:bidi="ar-SA"/>
              </w:rPr>
            </w:pPr>
            <w:r>
              <w:rPr>
                <w:rFonts w:hint="eastAsia"/>
                <w:color w:val="000000"/>
                <w:sz w:val="22"/>
                <w:szCs w:val="22"/>
                <w:lang w:val="en-US" w:eastAsia="zh-CN"/>
              </w:rPr>
              <w:t>90000</w:t>
            </w:r>
          </w:p>
        </w:tc>
        <w:tc>
          <w:tcPr>
            <w:tcW w:w="1193" w:type="dxa"/>
            <w:tcBorders>
              <w:top w:val="single" w:color="auto" w:sz="4" w:space="0"/>
              <w:left w:val="nil"/>
              <w:bottom w:val="single" w:color="auto" w:sz="4" w:space="0"/>
              <w:right w:val="single" w:color="auto" w:sz="12" w:space="0"/>
            </w:tcBorders>
            <w:vAlign w:val="center"/>
          </w:tcPr>
          <w:p>
            <w:pPr>
              <w:tabs>
                <w:tab w:val="left" w:pos="6840"/>
              </w:tabs>
              <w:jc w:val="center"/>
            </w:pPr>
            <w:r>
              <w:rPr>
                <w:rFonts w:hint="eastAsia"/>
              </w:rPr>
              <w:t>陶艺实训室</w:t>
            </w:r>
          </w:p>
        </w:tc>
      </w:tr>
      <w:tr>
        <w:tblPrEx>
          <w:tblCellMar>
            <w:top w:w="0" w:type="dxa"/>
            <w:left w:w="108" w:type="dxa"/>
            <w:bottom w:w="0" w:type="dxa"/>
            <w:right w:w="108" w:type="dxa"/>
          </w:tblCellMar>
        </w:tblPrEx>
        <w:trPr>
          <w:trHeight w:val="737"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Cs w:val="21"/>
              </w:rPr>
            </w:pPr>
            <w:r>
              <w:rPr>
                <w:rFonts w:hint="eastAsia" w:ascii="宋体" w:hAnsi="宋体" w:cs="宋体"/>
                <w:kern w:val="0"/>
                <w:sz w:val="24"/>
                <w:lang w:bidi="ar"/>
              </w:rPr>
              <w:t>2</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无线功放麦克风音箱设备套装</w:t>
            </w:r>
          </w:p>
        </w:tc>
        <w:tc>
          <w:tcPr>
            <w:tcW w:w="515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音箱2个，额定功率100W以上，额定阻抗4-8欧；音箱支架2个；无线功放机1台输出功率300W以上，音频输入接口2组以上；无线麦克风接收器1台；无线麦克风2个；有线麦克风1个。</w:t>
            </w: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rPr>
              <w:t>1套</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rPr>
              <w:t>5000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网络询价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rPr>
              <w:t>5000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737"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Cs w:val="21"/>
              </w:rPr>
            </w:pPr>
            <w:r>
              <w:rPr>
                <w:rFonts w:hint="eastAsia" w:ascii="宋体" w:hAnsi="宋体" w:cs="宋体"/>
                <w:kern w:val="0"/>
                <w:sz w:val="24"/>
                <w:lang w:bidi="ar"/>
              </w:rPr>
              <w:t>3</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5G双频无线企业级路由器</w:t>
            </w:r>
          </w:p>
        </w:tc>
        <w:tc>
          <w:tcPr>
            <w:tcW w:w="515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5G双频双千兆企业路由器，无线速率2600M，无线协议WiFi 5，LAN输出口千兆网口，适用频段2.4GHz、5GHz、2.4GHz+5GHz，外置天线8根，信号覆盖面积120平方米以上。</w:t>
            </w: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eastAsia="宋体"/>
                <w:lang w:eastAsia="zh-CN"/>
              </w:rPr>
            </w:pPr>
            <w:r>
              <w:rPr>
                <w:rFonts w:hint="eastAsia"/>
                <w:lang w:val="en-US" w:eastAsia="zh-CN"/>
              </w:rPr>
              <w:t>2</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rPr>
              <w:t>1500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网络询价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3000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90"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r>
              <w:rPr>
                <w:rFonts w:hint="eastAsia" w:ascii="宋体" w:hAnsi="宋体" w:cs="宋体"/>
                <w:kern w:val="0"/>
                <w:sz w:val="24"/>
                <w:lang w:bidi="ar"/>
              </w:rPr>
              <w:t>4</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拉坯机</w:t>
            </w:r>
          </w:p>
        </w:tc>
        <w:tc>
          <w:tcPr>
            <w:tcW w:w="5159" w:type="dxa"/>
            <w:tcBorders>
              <w:top w:val="single" w:color="auto" w:sz="4" w:space="0"/>
              <w:left w:val="nil"/>
              <w:bottom w:val="single" w:color="auto" w:sz="4" w:space="0"/>
              <w:right w:val="single" w:color="auto" w:sz="4" w:space="0"/>
            </w:tcBorders>
            <w:vAlign w:val="top"/>
          </w:tcPr>
          <w:p>
            <w:pPr>
              <w:numPr>
                <w:ilvl w:val="0"/>
                <w:numId w:val="0"/>
              </w:numPr>
              <w:rPr>
                <w:rFonts w:hint="eastAsia"/>
                <w:lang w:val="en-US" w:eastAsia="zh-CN"/>
              </w:rPr>
            </w:pPr>
            <w:r>
              <w:rPr>
                <w:rFonts w:hint="eastAsia"/>
                <w:lang w:val="en-US" w:eastAsia="zh-CN"/>
              </w:rPr>
              <w:t>1、外观尺寸：长宽高分别不大于：W600×L702×H315</w:t>
            </w:r>
            <w:r>
              <w:rPr>
                <w:rFonts w:hint="default"/>
                <w:lang w:val="en-US" w:eastAsia="zh-CN"/>
              </w:rPr>
              <w:t>~</w:t>
            </w:r>
            <w:r>
              <w:rPr>
                <w:rFonts w:hint="eastAsia"/>
                <w:lang w:val="en-US" w:eastAsia="zh-CN"/>
              </w:rPr>
              <w:t>580(mm)；</w:t>
            </w:r>
            <w:r>
              <w:rPr>
                <w:rFonts w:hint="eastAsia"/>
                <w:lang w:val="en-US" w:eastAsia="zh-CN"/>
              </w:rPr>
              <w:br w:type="textWrapping"/>
            </w:r>
            <w:r>
              <w:rPr>
                <w:rFonts w:hint="eastAsia"/>
                <w:lang w:val="en-US" w:eastAsia="zh-CN"/>
              </w:rPr>
              <w:t>2、驱动系统：DD马达（无刷式直流马达）不小于单相200V、50HZ、400W。</w:t>
            </w:r>
            <w:r>
              <w:rPr>
                <w:rFonts w:hint="default"/>
                <w:lang w:val="en-US" w:eastAsia="zh-CN"/>
              </w:rPr>
              <w:t>DD</w:t>
            </w:r>
            <w:r>
              <w:rPr>
                <w:rFonts w:hint="eastAsia"/>
                <w:lang w:val="en-US" w:eastAsia="zh-CN"/>
              </w:rPr>
              <w:t>马</w:t>
            </w:r>
            <w:r>
              <w:rPr>
                <w:rFonts w:hint="default"/>
                <w:lang w:val="en-US" w:eastAsia="zh-CN"/>
              </w:rPr>
              <w:t>达(无刷式</w:t>
            </w:r>
            <w:r>
              <w:rPr>
                <w:rFonts w:hint="eastAsia"/>
                <w:lang w:val="en-US" w:eastAsia="zh-CN"/>
              </w:rPr>
              <w:t>直流</w:t>
            </w:r>
            <w:r>
              <w:rPr>
                <w:rFonts w:hint="default"/>
                <w:lang w:val="en-US" w:eastAsia="zh-CN"/>
              </w:rPr>
              <w:t>马达)</w:t>
            </w:r>
            <w:r>
              <w:rPr>
                <w:rFonts w:hint="eastAsia"/>
                <w:lang w:val="en-US" w:eastAsia="zh-CN"/>
              </w:rPr>
              <w:t>，马达的回转速度不拘泥于被施加在转台上的扭矩的大小，包装马达与指令速度对应的速度内保持转动，维持了转台速度的稳定性。（采用DD无刷式直流马达直接连接转盘的结构，不使用皮带轮传动，通过主板程序软件控制，可使电机在低速（3转/分钟）状态下保证大扭力输出，运行流畅。机器在待机状态停止运转时可以自由旋转、作为手动转盘使用。 ）</w:t>
            </w:r>
          </w:p>
          <w:p>
            <w:pPr>
              <w:numPr>
                <w:ilvl w:val="0"/>
                <w:numId w:val="0"/>
              </w:numPr>
              <w:rPr>
                <w:rFonts w:hint="eastAsia"/>
                <w:lang w:val="en-US" w:eastAsia="zh-CN"/>
              </w:rPr>
            </w:pPr>
            <w:r>
              <w:rPr>
                <w:rFonts w:hint="eastAsia"/>
                <w:lang w:val="en-US" w:eastAsia="zh-CN"/>
              </w:rPr>
              <w:t>3、最大载泥量：不小于45kg ；</w:t>
            </w:r>
            <w:r>
              <w:rPr>
                <w:rFonts w:hint="eastAsia"/>
                <w:lang w:val="en-US" w:eastAsia="zh-CN"/>
              </w:rPr>
              <w:br w:type="textWrapping"/>
            </w:r>
            <w:r>
              <w:rPr>
                <w:rFonts w:hint="eastAsia"/>
                <w:lang w:val="en-US" w:eastAsia="zh-CN"/>
              </w:rPr>
              <w:t>4、转盘转速：0~250转/分钟，转盘盘面上下跳动≤0.10mm ；</w:t>
            </w:r>
            <w:r>
              <w:rPr>
                <w:rFonts w:hint="eastAsia"/>
                <w:lang w:val="en-US" w:eastAsia="zh-CN"/>
              </w:rPr>
              <w:br w:type="textWrapping"/>
            </w:r>
            <w:r>
              <w:rPr>
                <w:rFonts w:hint="eastAsia"/>
                <w:lang w:val="en-US" w:eastAsia="zh-CN"/>
              </w:rPr>
              <w:t>5、转盘旋转方向以及速度控制：通过电磁感应原理进行变速，通过脚踏板同步控制转盘转速，即停即止，无余转。可移动的脚踏板，与主机插口式设计，可自由拆卸。正反转皆可。转盘旋转状态下调整正反转旋钮后，需脚踏板控制速度降为0之后，再开启速度时转盘转动方向改变，确保安全使用；</w:t>
            </w:r>
            <w:r>
              <w:rPr>
                <w:rFonts w:hint="eastAsia"/>
                <w:lang w:val="en-US" w:eastAsia="zh-CN"/>
              </w:rPr>
              <w:br w:type="textWrapping"/>
            </w:r>
            <w:r>
              <w:rPr>
                <w:rFonts w:hint="eastAsia"/>
                <w:lang w:val="en-US" w:eastAsia="zh-CN"/>
              </w:rPr>
              <w:t>6、转盘：铝合金, 直径:350mm，转盘表面带有2个可拆卸固定拉坯板的螺丝；</w:t>
            </w:r>
            <w:r>
              <w:rPr>
                <w:rFonts w:hint="eastAsia"/>
                <w:lang w:val="en-US" w:eastAsia="zh-CN"/>
              </w:rPr>
              <w:br w:type="textWrapping"/>
            </w:r>
            <w:r>
              <w:rPr>
                <w:rFonts w:hint="eastAsia"/>
                <w:lang w:val="en-US" w:eastAsia="zh-CN"/>
              </w:rPr>
              <w:t>7、重量：不小于42.5kg；</w:t>
            </w:r>
            <w:r>
              <w:rPr>
                <w:rFonts w:hint="eastAsia"/>
                <w:lang w:val="en-US" w:eastAsia="zh-CN"/>
              </w:rPr>
              <w:br w:type="textWrapping"/>
            </w:r>
            <w:r>
              <w:rPr>
                <w:rFonts w:hint="eastAsia"/>
                <w:lang w:val="en-US" w:eastAsia="zh-CN"/>
              </w:rPr>
              <w:t>8、整机噪音：不大于35分贝；</w:t>
            </w:r>
            <w:r>
              <w:rPr>
                <w:rFonts w:hint="eastAsia"/>
                <w:lang w:val="en-US" w:eastAsia="zh-CN"/>
              </w:rPr>
              <w:br w:type="textWrapping"/>
            </w:r>
            <w:r>
              <w:rPr>
                <w:rFonts w:hint="eastAsia"/>
                <w:lang w:val="en-US" w:eastAsia="zh-CN"/>
              </w:rPr>
              <w:t>9、机器工作台面采用钣金涂装防锈处理外包高强度ABS塑料材料设计，台面边缘有防溢水台。挡水盘为高强度ABS塑料材质，密封好，泥水不会流出污染主轴，易拆卸；</w:t>
            </w:r>
            <w:r>
              <w:rPr>
                <w:rFonts w:hint="eastAsia"/>
                <w:lang w:val="en-US" w:eastAsia="zh-CN"/>
              </w:rPr>
              <w:br w:type="textWrapping"/>
            </w:r>
            <w:r>
              <w:rPr>
                <w:rFonts w:hint="eastAsia"/>
                <w:lang w:val="en-US" w:eastAsia="zh-CN"/>
              </w:rPr>
              <w:t>10、拉坯机三个支脚可以拆除当桌上陶艺机使用，支脚有3个高度档位可以调节，</w:t>
            </w:r>
            <w:r>
              <w:rPr>
                <w:rFonts w:hint="eastAsia"/>
              </w:rPr>
              <w:t>腿径：70mm</w:t>
            </w:r>
            <w:r>
              <w:rPr>
                <w:rFonts w:hint="eastAsia"/>
                <w:lang w:eastAsia="zh-CN"/>
              </w:rPr>
              <w:t>，</w:t>
            </w:r>
            <w:r>
              <w:rPr>
                <w:rFonts w:hint="eastAsia"/>
                <w:lang w:val="en-US" w:eastAsia="zh-CN"/>
              </w:rPr>
              <w:t>能够根据作陶者身高调整陶艺机高度，适用于各年龄阶段的不同人群；</w:t>
            </w:r>
          </w:p>
          <w:p>
            <w:pPr>
              <w:widowControl/>
              <w:rPr>
                <w:rFonts w:hint="default"/>
              </w:rPr>
            </w:pPr>
            <w:r>
              <w:rPr>
                <w:rFonts w:hint="eastAsia" w:ascii="宋体" w:hAnsi="宋体" w:eastAsia="宋体" w:cs="宋体"/>
                <w:i w:val="0"/>
                <w:color w:val="auto"/>
                <w:kern w:val="0"/>
                <w:sz w:val="20"/>
                <w:szCs w:val="20"/>
                <w:u w:val="none"/>
                <w:bdr w:val="single" w:color="000000" w:sz="4" w:space="0"/>
                <w:shd w:val="clear" w:color="auto" w:fill="FFFFFF"/>
                <w:lang w:val="en-US" w:eastAsia="zh-CN" w:bidi="ar"/>
              </w:rPr>
              <w:drawing>
                <wp:anchor distT="0" distB="0" distL="114300" distR="114300" simplePos="0" relativeHeight="251661312" behindDoc="0" locked="0" layoutInCell="1" allowOverlap="1">
                  <wp:simplePos x="0" y="0"/>
                  <wp:positionH relativeFrom="column">
                    <wp:posOffset>1066800</wp:posOffset>
                  </wp:positionH>
                  <wp:positionV relativeFrom="paragraph">
                    <wp:posOffset>62865</wp:posOffset>
                  </wp:positionV>
                  <wp:extent cx="1089660" cy="1058545"/>
                  <wp:effectExtent l="0" t="0" r="15240" b="8255"/>
                  <wp:wrapNone/>
                  <wp:docPr id="12" name="Picture_20"/>
                  <wp:cNvGraphicFramePr/>
                  <a:graphic xmlns:a="http://schemas.openxmlformats.org/drawingml/2006/main">
                    <a:graphicData uri="http://schemas.openxmlformats.org/drawingml/2006/picture">
                      <pic:pic xmlns:pic="http://schemas.openxmlformats.org/drawingml/2006/picture">
                        <pic:nvPicPr>
                          <pic:cNvPr id="12" name="Picture_20"/>
                          <pic:cNvPicPr/>
                        </pic:nvPicPr>
                        <pic:blipFill>
                          <a:blip r:embed="rId4"/>
                          <a:stretch>
                            <a:fillRect/>
                          </a:stretch>
                        </pic:blipFill>
                        <pic:spPr>
                          <a:xfrm>
                            <a:off x="0" y="0"/>
                            <a:ext cx="1089660" cy="1058545"/>
                          </a:xfrm>
                          <a:prstGeom prst="rect">
                            <a:avLst/>
                          </a:prstGeom>
                          <a:noFill/>
                          <a:ln>
                            <a:noFill/>
                          </a:ln>
                        </pic:spPr>
                      </pic:pic>
                    </a:graphicData>
                  </a:graphic>
                </wp:anchor>
              </w:drawing>
            </w:r>
            <w:r>
              <w:rPr>
                <w:rFonts w:hint="eastAsia"/>
                <w:lang w:eastAsia="zh-CN"/>
              </w:rPr>
              <w:t>产品</w:t>
            </w:r>
            <w:r>
              <w:rPr>
                <w:rFonts w:hint="default"/>
              </w:rPr>
              <w:t>参考图片：</w:t>
            </w:r>
          </w:p>
          <w:p>
            <w:pPr>
              <w:numPr>
                <w:ilvl w:val="0"/>
                <w:numId w:val="0"/>
              </w:numPr>
              <w:jc w:val="both"/>
              <w:rPr>
                <w:rFonts w:hint="eastAsia"/>
              </w:rPr>
            </w:pPr>
          </w:p>
          <w:p>
            <w:pPr>
              <w:pStyle w:val="2"/>
              <w:rPr>
                <w:rFonts w:hint="eastAsia"/>
              </w:rPr>
            </w:pPr>
          </w:p>
          <w:p>
            <w:pPr>
              <w:rPr>
                <w:rFonts w:hint="eastAsia"/>
              </w:rPr>
            </w:pPr>
          </w:p>
          <w:p>
            <w:pPr>
              <w:pStyle w:val="2"/>
              <w:rPr>
                <w:rFonts w:ascii="宋体" w:hAnsi="宋体" w:cs="宋体"/>
                <w:color w:val="000000"/>
                <w:kern w:val="0"/>
                <w:szCs w:val="22"/>
              </w:rPr>
            </w:pP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30</w:t>
            </w:r>
          </w:p>
        </w:tc>
        <w:tc>
          <w:tcPr>
            <w:tcW w:w="1128" w:type="dxa"/>
            <w:tcBorders>
              <w:top w:val="single" w:color="auto" w:sz="4" w:space="0"/>
              <w:left w:val="nil"/>
              <w:bottom w:val="single" w:color="auto" w:sz="4" w:space="0"/>
              <w:right w:val="single" w:color="auto" w:sz="4" w:space="0"/>
            </w:tcBorders>
            <w:vAlign w:val="center"/>
          </w:tcPr>
          <w:p>
            <w:pPr>
              <w:jc w:val="center"/>
              <w:textAlignment w:val="center"/>
            </w:pPr>
            <w:r>
              <w:t>9500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网上询价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285000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3790"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r>
              <w:rPr>
                <w:rFonts w:hint="eastAsia" w:ascii="宋体" w:hAnsi="宋体" w:cs="宋体"/>
                <w:kern w:val="0"/>
                <w:sz w:val="24"/>
                <w:lang w:bidi="ar"/>
              </w:rPr>
              <w:t>5</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常压式练泥机</w:t>
            </w:r>
          </w:p>
          <w:p>
            <w:pPr>
              <w:widowControl/>
              <w:jc w:val="left"/>
              <w:textAlignment w:val="center"/>
              <w:rPr>
                <w:rFonts w:ascii="宋体" w:hAnsi="宋体" w:cs="宋体"/>
                <w:color w:val="000000"/>
                <w:kern w:val="0"/>
                <w:szCs w:val="22"/>
              </w:rPr>
            </w:pPr>
          </w:p>
        </w:tc>
        <w:tc>
          <w:tcPr>
            <w:tcW w:w="5159"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外观尺寸:</w:t>
            </w:r>
            <w:r>
              <w:rPr>
                <w:rFonts w:hint="eastAsia" w:ascii="Times New Roman" w:hAnsi="Times New Roman" w:cs="Times New Roman"/>
                <w:color w:val="auto"/>
                <w:kern w:val="0"/>
                <w:szCs w:val="21"/>
                <w:highlight w:val="none"/>
                <w:lang w:val="en-US" w:eastAsia="zh-CN"/>
              </w:rPr>
              <w:t>长宽高分别</w:t>
            </w:r>
            <w:r>
              <w:rPr>
                <w:rFonts w:hint="default" w:ascii="Times New Roman" w:hAnsi="Times New Roman" w:cs="Times New Roman"/>
                <w:color w:val="auto"/>
                <w:kern w:val="0"/>
                <w:szCs w:val="21"/>
                <w:highlight w:val="none"/>
              </w:rPr>
              <w:t>不大于665(1</w:t>
            </w:r>
            <w:r>
              <w:rPr>
                <w:rFonts w:hint="eastAsia"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rPr>
              <w:t>025包含托板)×335×560</w:t>
            </w:r>
            <w:r>
              <w:rPr>
                <w:rFonts w:hint="eastAsia"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rPr>
              <w:t>mm</w:t>
            </w:r>
            <w:r>
              <w:rPr>
                <w:rFonts w:hint="eastAsia" w:ascii="Times New Roman" w:hAnsi="Times New Roman" w:cs="Times New Roman"/>
                <w:color w:val="auto"/>
                <w:kern w:val="0"/>
                <w:szCs w:val="21"/>
                <w:highlight w:val="none"/>
                <w:lang w:val="en-US" w:eastAsia="zh-CN"/>
              </w:rPr>
              <w:t>)</w:t>
            </w:r>
          </w:p>
          <w:p>
            <w:pPr>
              <w:widowControl/>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2、重量: 主体:75kg   托泥板:  5kg         </w:t>
            </w:r>
          </w:p>
          <w:p>
            <w:pPr>
              <w:widowControl/>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3、主马达：单相 2</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0V</w:t>
            </w:r>
            <w:r>
              <w:rPr>
                <w:rFonts w:hint="eastAsia" w:ascii="Times New Roman" w:hAnsi="Times New Roman" w:cs="Times New Roman"/>
                <w:color w:val="auto"/>
                <w:kern w:val="0"/>
                <w:szCs w:val="21"/>
                <w:highlight w:val="none"/>
                <w:lang w:eastAsia="zh-CN"/>
              </w:rPr>
              <w:t>，不大于</w:t>
            </w: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 xml:space="preserve">00W     </w:t>
            </w:r>
          </w:p>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xml:space="preserve">4、出泥能力：400kg/小时    </w:t>
            </w:r>
          </w:p>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5、出泥口径：</w:t>
            </w:r>
            <w:r>
              <w:rPr>
                <w:rFonts w:hint="eastAsia" w:ascii="Times New Roman" w:hAnsi="Times New Roman" w:cs="Times New Roman"/>
                <w:color w:val="auto"/>
                <w:kern w:val="0"/>
                <w:szCs w:val="21"/>
                <w:highlight w:val="none"/>
                <w:lang w:eastAsia="zh-CN"/>
              </w:rPr>
              <w:t>不小于</w:t>
            </w:r>
            <w:r>
              <w:rPr>
                <w:rFonts w:hint="default" w:ascii="Times New Roman" w:hAnsi="Times New Roman" w:cs="Times New Roman"/>
                <w:color w:val="auto"/>
                <w:kern w:val="0"/>
                <w:szCs w:val="21"/>
                <w:highlight w:val="none"/>
              </w:rPr>
              <w:t>90mm；出泥口必须有</w:t>
            </w:r>
            <w:r>
              <w:rPr>
                <w:rFonts w:hint="eastAsia" w:ascii="Times New Roman" w:hAnsi="Times New Roman" w:cs="Times New Roman"/>
                <w:color w:val="auto"/>
                <w:kern w:val="0"/>
                <w:szCs w:val="21"/>
                <w:highlight w:val="none"/>
                <w:lang w:eastAsia="zh-CN"/>
              </w:rPr>
              <w:t>安</w:t>
            </w:r>
            <w:r>
              <w:rPr>
                <w:rFonts w:hint="default" w:ascii="Times New Roman" w:hAnsi="Times New Roman" w:cs="Times New Roman"/>
                <w:color w:val="auto"/>
                <w:kern w:val="0"/>
                <w:szCs w:val="21"/>
                <w:highlight w:val="none"/>
              </w:rPr>
              <w:t>装</w:t>
            </w:r>
            <w:r>
              <w:rPr>
                <w:rFonts w:hint="eastAsia" w:ascii="Times New Roman" w:hAnsi="Times New Roman" w:cs="Times New Roman"/>
                <w:color w:val="auto"/>
                <w:kern w:val="0"/>
                <w:szCs w:val="21"/>
                <w:highlight w:val="none"/>
                <w:lang w:eastAsia="zh-CN"/>
              </w:rPr>
              <w:t>固定</w:t>
            </w:r>
            <w:r>
              <w:rPr>
                <w:rFonts w:hint="default" w:ascii="Times New Roman" w:hAnsi="Times New Roman" w:cs="Times New Roman"/>
                <w:color w:val="auto"/>
                <w:kern w:val="0"/>
                <w:szCs w:val="21"/>
                <w:highlight w:val="none"/>
              </w:rPr>
              <w:t xml:space="preserve">出泥模具的螺纹孔。    </w:t>
            </w:r>
          </w:p>
          <w:p>
            <w:pPr>
              <w:widowControl/>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 xml:space="preserve">6、练泥轴：混泥箱：双练泥轴；出泥口：单练泥轴 </w:t>
            </w:r>
          </w:p>
          <w:p>
            <w:pPr>
              <w:widowControl/>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7、材质：练泥轴材质: SCS13不锈钢铸件；练泥箱材质: 不锈钢铸件</w:t>
            </w:r>
          </w:p>
          <w:p>
            <w:pPr>
              <w:widowControl/>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8、安全设计：①机器配有安全断路器。②整机采用全封闭设计，主马达不外漏，安全、噪音低、小巧、占用空间小。③童锁装置：投泥口带有安全童锁装置，电源开启时打开投泥口，机器能够自动停止，有效防止操作人员或学生在机器运转时头发、衣服、围巾、手等异物的卷入导致的人身安全问题。</w:t>
            </w:r>
          </w:p>
          <w:p>
            <w:pPr>
              <w:widowControl/>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9</w:t>
            </w:r>
            <w:r>
              <w:rPr>
                <w:rFonts w:hint="default" w:ascii="Times New Roman" w:hAnsi="Times New Roman" w:cs="Times New Roman"/>
                <w:color w:val="auto"/>
                <w:kern w:val="0"/>
                <w:szCs w:val="21"/>
                <w:highlight w:val="none"/>
              </w:rPr>
              <w:t>、双轴练泥轴在机器运转时相向旋转，有效吸入、搅投泥口的投泥，不需要人为用力向投泥口压入泥巴。</w:t>
            </w:r>
          </w:p>
          <w:p>
            <w:pPr>
              <w:widowControl/>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10</w:t>
            </w:r>
            <w:r>
              <w:rPr>
                <w:rFonts w:hint="default" w:ascii="Times New Roman" w:hAnsi="Times New Roman" w:cs="Times New Roman"/>
                <w:color w:val="auto"/>
                <w:kern w:val="0"/>
                <w:szCs w:val="21"/>
                <w:highlight w:val="none"/>
              </w:rPr>
              <w:t>、粘土搅拌箱到出泥口，能够接触到土的部分全部使用的不锈钢，机器坚固耐用的同时有效防止生锈</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投泥口和泥料搅拌箱采用可拆卸的不锈钢结构，可练制各种不同品种的各色泥料。</w:t>
            </w:r>
          </w:p>
          <w:p>
            <w:pPr>
              <w:widowControl/>
              <w:rPr>
                <w:rFonts w:hint="eastAsia" w:ascii="宋体" w:hAnsi="宋体" w:cs="宋体"/>
                <w:kern w:val="0"/>
                <w:szCs w:val="21"/>
              </w:rPr>
            </w:pPr>
            <w:r>
              <w:rPr>
                <w:rFonts w:hint="eastAsia" w:ascii="Times New Roman" w:hAnsi="Times New Roman" w:cs="Times New Roman"/>
                <w:color w:val="auto"/>
                <w:kern w:val="0"/>
                <w:szCs w:val="21"/>
                <w:highlight w:val="none"/>
                <w:lang w:val="en-US" w:eastAsia="zh-CN"/>
              </w:rPr>
              <w:t>11</w:t>
            </w:r>
            <w:r>
              <w:rPr>
                <w:rFonts w:hint="default" w:ascii="Times New Roman" w:hAnsi="Times New Roman" w:cs="Times New Roman"/>
                <w:color w:val="auto"/>
                <w:kern w:val="0"/>
                <w:szCs w:val="21"/>
                <w:highlight w:val="none"/>
              </w:rPr>
              <w:t>、</w:t>
            </w:r>
            <w:r>
              <w:rPr>
                <w:rFonts w:hint="default" w:ascii="Times New Roman" w:hAnsi="Times New Roman" w:cs="Times New Roman"/>
                <w:color w:val="auto"/>
                <w:highlight w:val="none"/>
              </w:rPr>
              <w:t>机身底部4个支脚中有1个支脚的高度可以调节，有效对应机器放置地面不平整，导致机身摇晃的问题。</w:t>
            </w:r>
            <w:r>
              <w:rPr>
                <w:rFonts w:hint="eastAsia" w:ascii="宋体" w:hAnsi="宋体" w:cs="宋体"/>
                <w:kern w:val="0"/>
                <w:szCs w:val="21"/>
              </w:rPr>
              <w:t xml:space="preserve">   </w:t>
            </w:r>
          </w:p>
          <w:p>
            <w:pPr>
              <w:pStyle w:val="2"/>
              <w:rPr>
                <w:rFonts w:hint="default"/>
              </w:rPr>
            </w:pPr>
          </w:p>
          <w:p>
            <w:pPr>
              <w:widowControl/>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产品</w:t>
            </w:r>
            <w:r>
              <w:rPr>
                <w:rFonts w:hint="default" w:ascii="Times New Roman" w:hAnsi="Times New Roman" w:cs="Times New Roman"/>
                <w:color w:val="auto"/>
                <w:highlight w:val="none"/>
              </w:rPr>
              <w:t>参考图片：</w:t>
            </w:r>
          </w:p>
          <w:p>
            <w:pPr>
              <w:widowControl/>
              <w:rPr>
                <w:rFonts w:ascii="宋体" w:hAnsi="宋体" w:cs="宋体"/>
                <w:color w:val="000000"/>
                <w:kern w:val="0"/>
                <w:szCs w:val="22"/>
              </w:rPr>
            </w:pPr>
            <w:r>
              <w:rPr>
                <w:rFonts w:hint="default" w:ascii="Times New Roman" w:hAnsi="Times New Roman" w:cs="Times New Roman"/>
                <w:color w:val="auto"/>
                <w:kern w:val="0"/>
                <w:szCs w:val="21"/>
                <w:highlight w:val="none"/>
              </w:rPr>
              <w:drawing>
                <wp:anchor distT="0" distB="0" distL="114300" distR="114300" simplePos="0" relativeHeight="251662336" behindDoc="0" locked="0" layoutInCell="1" allowOverlap="1">
                  <wp:simplePos x="0" y="0"/>
                  <wp:positionH relativeFrom="column">
                    <wp:posOffset>826770</wp:posOffset>
                  </wp:positionH>
                  <wp:positionV relativeFrom="paragraph">
                    <wp:posOffset>219710</wp:posOffset>
                  </wp:positionV>
                  <wp:extent cx="1635125" cy="1536065"/>
                  <wp:effectExtent l="0" t="0" r="3175" b="6985"/>
                  <wp:wrapNone/>
                  <wp:docPr id="1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pic:cNvPicPr>
                            <a:picLocks noChangeAspect="1"/>
                          </pic:cNvPicPr>
                        </pic:nvPicPr>
                        <pic:blipFill>
                          <a:blip r:embed="rId5"/>
                          <a:stretch>
                            <a:fillRect/>
                          </a:stretch>
                        </pic:blipFill>
                        <pic:spPr>
                          <a:xfrm>
                            <a:off x="0" y="0"/>
                            <a:ext cx="1635125" cy="1536065"/>
                          </a:xfrm>
                          <a:prstGeom prst="rect">
                            <a:avLst/>
                          </a:prstGeom>
                          <a:noFill/>
                          <a:ln>
                            <a:noFill/>
                          </a:ln>
                        </pic:spPr>
                      </pic:pic>
                    </a:graphicData>
                  </a:graphic>
                </wp:anchor>
              </w:drawing>
            </w: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r>
              <w:t>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t>28000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网上询价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pPr>
            <w:r>
              <w:t>28000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8246"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r>
              <w:rPr>
                <w:rFonts w:hint="eastAsia" w:ascii="宋体" w:hAnsi="宋体" w:cs="宋体"/>
                <w:kern w:val="0"/>
                <w:sz w:val="24"/>
                <w:lang w:bidi="ar"/>
              </w:rPr>
              <w:t>6</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真空式练泥机</w:t>
            </w:r>
          </w:p>
        </w:tc>
        <w:tc>
          <w:tcPr>
            <w:tcW w:w="5159" w:type="dxa"/>
            <w:tcBorders>
              <w:top w:val="single" w:color="auto" w:sz="4" w:space="0"/>
              <w:left w:val="nil"/>
              <w:bottom w:val="single" w:color="auto" w:sz="4" w:space="0"/>
              <w:right w:val="single" w:color="auto" w:sz="4" w:space="0"/>
            </w:tcBorders>
            <w:vAlign w:val="top"/>
          </w:tcPr>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1、外观尺寸:长宽高分别不大于1,320×420×750mm；</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2、重量: 不大于145kg；</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3、电量：主马达：单相 200～240V；</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真空泵马达：单相200～240V；</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4、出泥能力：常压：400kg/小时；真空：200kg/小时；</w:t>
            </w:r>
          </w:p>
          <w:p>
            <w:pPr>
              <w:widowControl/>
              <w:jc w:val="both"/>
              <w:rPr>
                <w:rFonts w:hint="default"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5、出泥口径：不小于</w:t>
            </w:r>
            <w:r>
              <w:rPr>
                <w:rFonts w:hint="default" w:ascii="Times New Roman" w:hAnsi="Times New Roman" w:cs="Times New Roman"/>
                <w:color w:val="auto"/>
                <w:kern w:val="0"/>
                <w:szCs w:val="21"/>
                <w:highlight w:val="none"/>
                <w:lang w:val="en-US" w:eastAsia="zh-CN"/>
              </w:rPr>
              <w:t>90mm；出泥口必须有</w:t>
            </w:r>
            <w:r>
              <w:rPr>
                <w:rFonts w:hint="eastAsia" w:ascii="Times New Roman" w:hAnsi="Times New Roman" w:cs="Times New Roman"/>
                <w:color w:val="auto"/>
                <w:kern w:val="0"/>
                <w:szCs w:val="21"/>
                <w:highlight w:val="none"/>
                <w:lang w:val="en-US" w:eastAsia="zh-CN"/>
              </w:rPr>
              <w:t>安</w:t>
            </w:r>
            <w:r>
              <w:rPr>
                <w:rFonts w:hint="default" w:ascii="Times New Roman" w:hAnsi="Times New Roman" w:cs="Times New Roman"/>
                <w:color w:val="auto"/>
                <w:kern w:val="0"/>
                <w:szCs w:val="21"/>
                <w:highlight w:val="none"/>
                <w:lang w:val="en-US" w:eastAsia="zh-CN"/>
              </w:rPr>
              <w:t>装</w:t>
            </w:r>
            <w:r>
              <w:rPr>
                <w:rFonts w:hint="eastAsia" w:ascii="Times New Roman" w:hAnsi="Times New Roman" w:cs="Times New Roman"/>
                <w:color w:val="auto"/>
                <w:kern w:val="0"/>
                <w:szCs w:val="21"/>
                <w:highlight w:val="none"/>
                <w:lang w:val="en-US" w:eastAsia="zh-CN"/>
              </w:rPr>
              <w:t>固定</w:t>
            </w:r>
            <w:r>
              <w:rPr>
                <w:rFonts w:hint="default" w:ascii="Times New Roman" w:hAnsi="Times New Roman" w:cs="Times New Roman"/>
                <w:color w:val="auto"/>
                <w:kern w:val="0"/>
                <w:szCs w:val="21"/>
                <w:highlight w:val="none"/>
                <w:lang w:val="en-US" w:eastAsia="zh-CN"/>
              </w:rPr>
              <w:t>出泥模具的螺纹孔</w:t>
            </w:r>
            <w:r>
              <w:rPr>
                <w:rFonts w:hint="eastAsia" w:ascii="Times New Roman" w:hAnsi="Times New Roman" w:cs="Times New Roman"/>
                <w:color w:val="auto"/>
                <w:kern w:val="0"/>
                <w:szCs w:val="21"/>
                <w:highlight w:val="none"/>
                <w:lang w:val="en-US" w:eastAsia="zh-CN"/>
              </w:rPr>
              <w:t>；</w:t>
            </w:r>
            <w:r>
              <w:rPr>
                <w:rFonts w:hint="default" w:ascii="Times New Roman" w:hAnsi="Times New Roman" w:cs="Times New Roman"/>
                <w:color w:val="auto"/>
                <w:kern w:val="0"/>
                <w:szCs w:val="21"/>
                <w:highlight w:val="none"/>
                <w:lang w:val="en-US" w:eastAsia="zh-CN"/>
              </w:rPr>
              <w:t xml:space="preserve">   </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6、练泥轴：混泥箱：双练泥轴； 出泥口：单练泥轴；</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7、材质：练泥轴材质: SCS13不锈钢铸件； 练泥箱材质：不锈钢铸件；</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8、真空负压值：真空负压值0.095Mpa（70cm/Hg）以上；真空度：不小于95%；</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9、滑轮：机身底部必须配置带锁定功能的滑轮，方便移动；</w:t>
            </w:r>
          </w:p>
          <w:p>
            <w:pPr>
              <w:widowControl/>
              <w:jc w:val="both"/>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10、安全设计：①机器配有安全断路器。②整机采用全封闭设计，主马达和真空泵马达不外漏，安全、噪音低、小巧、占用空间小。③童锁装置：投泥口带有安全童锁装置，电源开启时打开投泥口，机器能够自动停止，有效防止操作人员或学生在机器运转时头发、衣服、围巾、手等异物的卷入导致的人身安全问题。④润滑脂：真空泵马达必须采用免维护加油的润滑脂，不需要用润滑油，能够有效防止机器抽真空时润滑油倒灌漏油，导致人员或学生接触、误食；</w:t>
            </w:r>
          </w:p>
          <w:p>
            <w:pPr>
              <w:widowControl/>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11</w:t>
            </w:r>
            <w:r>
              <w:rPr>
                <w:rFonts w:hint="default" w:ascii="Times New Roman" w:hAnsi="Times New Roman" w:cs="Times New Roman"/>
                <w:color w:val="auto"/>
                <w:kern w:val="0"/>
                <w:szCs w:val="21"/>
                <w:highlight w:val="none"/>
              </w:rPr>
              <w:t>、双轴练泥轴在机器运转时相向旋转，有效吸入、搅投泥口的投泥，不需要人为用力向投泥口压入泥巴。</w:t>
            </w:r>
          </w:p>
          <w:p>
            <w:pPr>
              <w:widowControl/>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12</w:t>
            </w:r>
            <w:r>
              <w:rPr>
                <w:rFonts w:hint="default" w:ascii="Times New Roman" w:hAnsi="Times New Roman" w:cs="Times New Roman"/>
                <w:color w:val="auto"/>
                <w:kern w:val="0"/>
                <w:szCs w:val="21"/>
                <w:highlight w:val="none"/>
              </w:rPr>
              <w:t>、粘土搅拌箱到出泥口，能够接触到土的部分全部使用的不锈钢，机器坚固耐用的同时有效防止生锈</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投泥口和泥料搅拌箱采用可拆卸的不锈钢结构，可练制各种不同品种的各色泥料。</w:t>
            </w:r>
            <w:r>
              <w:rPr>
                <w:rFonts w:hint="eastAsia" w:ascii="Times New Roman" w:hAnsi="Times New Roman" w:cs="Times New Roman"/>
                <w:color w:val="auto"/>
                <w:kern w:val="0"/>
                <w:szCs w:val="21"/>
                <w:highlight w:val="none"/>
                <w:lang w:val="en-US" w:eastAsia="zh-CN"/>
              </w:rPr>
              <w:t xml:space="preserve">  </w:t>
            </w:r>
          </w:p>
          <w:p>
            <w:pPr>
              <w:widowControl/>
              <w:jc w:val="both"/>
              <w:rPr>
                <w:rFonts w:ascii="宋体" w:hAnsi="宋体" w:cs="宋体"/>
                <w:color w:val="000000"/>
                <w:kern w:val="0"/>
                <w:szCs w:val="22"/>
              </w:rPr>
            </w:pPr>
            <w:r>
              <w:rPr>
                <w:color w:val="auto"/>
              </w:rPr>
              <w:drawing>
                <wp:anchor distT="0" distB="0" distL="114300" distR="114300" simplePos="0" relativeHeight="251663360" behindDoc="0" locked="0" layoutInCell="1" allowOverlap="1">
                  <wp:simplePos x="0" y="0"/>
                  <wp:positionH relativeFrom="column">
                    <wp:posOffset>790575</wp:posOffset>
                  </wp:positionH>
                  <wp:positionV relativeFrom="paragraph">
                    <wp:posOffset>622300</wp:posOffset>
                  </wp:positionV>
                  <wp:extent cx="1750060" cy="1546860"/>
                  <wp:effectExtent l="0" t="0" r="2540" b="152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tretch>
                            <a:fillRect/>
                          </a:stretch>
                        </pic:blipFill>
                        <pic:spPr>
                          <a:xfrm>
                            <a:off x="0" y="0"/>
                            <a:ext cx="1750060" cy="1546860"/>
                          </a:xfrm>
                          <a:prstGeom prst="rect">
                            <a:avLst/>
                          </a:prstGeom>
                          <a:noFill/>
                          <a:ln>
                            <a:noFill/>
                          </a:ln>
                        </pic:spPr>
                      </pic:pic>
                    </a:graphicData>
                  </a:graphic>
                </wp:anchor>
              </w:drawing>
            </w:r>
            <w:r>
              <w:rPr>
                <w:rFonts w:hint="eastAsia" w:ascii="Times New Roman" w:hAnsi="Times New Roman" w:cs="Times New Roman"/>
                <w:color w:val="auto"/>
                <w:kern w:val="0"/>
                <w:szCs w:val="21"/>
                <w:highlight w:val="none"/>
                <w:lang w:val="en-US" w:eastAsia="zh-CN"/>
              </w:rPr>
              <w:t>产品参考图片：</w:t>
            </w: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r>
              <w:t>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t>61200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网上询价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pPr>
            <w:r>
              <w:t>61200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3866"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r>
              <w:rPr>
                <w:rFonts w:hint="eastAsia" w:ascii="宋体" w:hAnsi="宋体" w:cs="宋体"/>
                <w:kern w:val="0"/>
                <w:sz w:val="24"/>
                <w:lang w:bidi="ar"/>
              </w:rPr>
              <w:t>7</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压泥板机</w:t>
            </w:r>
          </w:p>
        </w:tc>
        <w:tc>
          <w:tcPr>
            <w:tcW w:w="5159" w:type="dxa"/>
            <w:tcBorders>
              <w:top w:val="single" w:color="auto" w:sz="4" w:space="0"/>
              <w:left w:val="nil"/>
              <w:bottom w:val="single" w:color="auto" w:sz="4" w:space="0"/>
              <w:right w:val="single" w:color="auto" w:sz="4" w:space="0"/>
            </w:tcBorders>
            <w:vAlign w:val="center"/>
          </w:tcPr>
          <w:p>
            <w:pPr>
              <w:widowControl/>
              <w:jc w:val="both"/>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1、规格：长130/宽62/高100cm</w:t>
            </w:r>
          </w:p>
          <w:p>
            <w:pPr>
              <w:widowControl/>
              <w:jc w:val="both"/>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2、主轴材质：铝合金花纹滚轴</w:t>
            </w:r>
          </w:p>
          <w:p>
            <w:pPr>
              <w:widowControl/>
              <w:jc w:val="both"/>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3、台面材质：耐磨防水PVC材质（厚度12mm）</w:t>
            </w:r>
          </w:p>
          <w:p>
            <w:pPr>
              <w:widowControl/>
              <w:jc w:val="both"/>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4、调节范围：0-60mm</w:t>
            </w:r>
          </w:p>
          <w:p>
            <w:pPr>
              <w:widowControl/>
              <w:jc w:val="both"/>
              <w:rPr>
                <w:rFonts w:hint="default"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drawing>
                <wp:anchor distT="0" distB="0" distL="114300" distR="114300" simplePos="0" relativeHeight="251659264" behindDoc="0" locked="0" layoutInCell="1" allowOverlap="1">
                  <wp:simplePos x="0" y="0"/>
                  <wp:positionH relativeFrom="column">
                    <wp:posOffset>1228725</wp:posOffset>
                  </wp:positionH>
                  <wp:positionV relativeFrom="paragraph">
                    <wp:posOffset>133350</wp:posOffset>
                  </wp:positionV>
                  <wp:extent cx="1235075" cy="1188085"/>
                  <wp:effectExtent l="0" t="0" r="3175" b="12065"/>
                  <wp:wrapNone/>
                  <wp:docPr id="8" name="图片 2" descr="461056779747e2ea692eba84497c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461056779747e2ea692eba84497c949"/>
                          <pic:cNvPicPr>
                            <a:picLocks noChangeAspect="1"/>
                          </pic:cNvPicPr>
                        </pic:nvPicPr>
                        <pic:blipFill>
                          <a:blip r:embed="rId7"/>
                          <a:srcRect l="3363" t="14861" b="15421"/>
                          <a:stretch>
                            <a:fillRect/>
                          </a:stretch>
                        </pic:blipFill>
                        <pic:spPr>
                          <a:xfrm>
                            <a:off x="0" y="0"/>
                            <a:ext cx="1235075" cy="1188085"/>
                          </a:xfrm>
                          <a:prstGeom prst="rect">
                            <a:avLst/>
                          </a:prstGeom>
                          <a:noFill/>
                          <a:ln>
                            <a:noFill/>
                          </a:ln>
                        </pic:spPr>
                      </pic:pic>
                    </a:graphicData>
                  </a:graphic>
                </wp:anchor>
              </w:drawing>
            </w:r>
            <w:r>
              <w:rPr>
                <w:rFonts w:hint="eastAsia" w:ascii="Times New Roman" w:hAnsi="Times New Roman" w:cs="Times New Roman"/>
                <w:color w:val="auto"/>
                <w:kern w:val="0"/>
                <w:szCs w:val="21"/>
                <w:highlight w:val="none"/>
                <w:lang w:val="en-US" w:eastAsia="zh-CN"/>
              </w:rPr>
              <w:t>产品</w:t>
            </w:r>
            <w:r>
              <w:rPr>
                <w:rFonts w:hint="default" w:ascii="Times New Roman" w:hAnsi="Times New Roman" w:cs="Times New Roman"/>
                <w:color w:val="auto"/>
                <w:kern w:val="0"/>
                <w:szCs w:val="21"/>
                <w:highlight w:val="none"/>
                <w:lang w:val="en-US" w:eastAsia="zh-CN"/>
              </w:rPr>
              <w:t>参考图片：</w:t>
            </w:r>
          </w:p>
          <w:p>
            <w:pPr>
              <w:widowControl/>
            </w:pPr>
          </w:p>
          <w:p>
            <w:pPr>
              <w:widowControl/>
            </w:pPr>
          </w:p>
          <w:p>
            <w:pPr>
              <w:widowControl/>
            </w:pPr>
          </w:p>
          <w:p>
            <w:pPr>
              <w:widowControl/>
              <w:rPr>
                <w:rFonts w:ascii="宋体" w:hAnsi="宋体" w:cs="宋体"/>
                <w:color w:val="000000"/>
                <w:kern w:val="0"/>
                <w:szCs w:val="22"/>
              </w:rPr>
            </w:pP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r>
              <w:t>2</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rPr>
              <w:t>6</w:t>
            </w:r>
            <w:r>
              <w:t>500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网上询价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pPr>
            <w:r>
              <w:t>13000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4027"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r>
              <w:rPr>
                <w:rFonts w:hint="eastAsia" w:ascii="宋体" w:hAnsi="宋体" w:cs="宋体"/>
                <w:kern w:val="0"/>
                <w:sz w:val="24"/>
                <w:lang w:bidi="ar"/>
              </w:rPr>
              <w:t>8</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球磨机</w:t>
            </w:r>
          </w:p>
        </w:tc>
        <w:tc>
          <w:tcPr>
            <w:tcW w:w="5159" w:type="dxa"/>
            <w:tcBorders>
              <w:top w:val="single" w:color="auto" w:sz="4" w:space="0"/>
              <w:left w:val="nil"/>
              <w:bottom w:val="single" w:color="auto" w:sz="4" w:space="0"/>
              <w:right w:val="single" w:color="auto" w:sz="4" w:space="0"/>
            </w:tcBorders>
            <w:vAlign w:val="center"/>
          </w:tcPr>
          <w:p>
            <w:pPr>
              <w:widowControl/>
              <w:jc w:val="both"/>
              <w:rPr>
                <w:rFonts w:hint="eastAsia"/>
                <w:lang w:val="en-US" w:eastAsia="zh-CN"/>
              </w:rPr>
            </w:pPr>
            <w:r>
              <w:rPr>
                <w:rFonts w:hint="eastAsia"/>
                <w:lang w:val="en-US" w:eastAsia="zh-CN"/>
              </w:rPr>
              <w:t>1、外形尺寸（长*宽*高）：700*450*500(mm)</w:t>
            </w:r>
          </w:p>
          <w:p>
            <w:pPr>
              <w:widowControl/>
              <w:jc w:val="both"/>
              <w:rPr>
                <w:rFonts w:hint="eastAsia"/>
                <w:lang w:val="en-US" w:eastAsia="zh-CN"/>
              </w:rPr>
            </w:pPr>
            <w:r>
              <w:rPr>
                <w:rFonts w:hint="eastAsia"/>
                <w:lang w:val="en-US" w:eastAsia="zh-CN"/>
              </w:rPr>
              <w:t>2、电压：AC220V 50HZ</w:t>
            </w:r>
          </w:p>
          <w:p>
            <w:pPr>
              <w:widowControl/>
              <w:jc w:val="both"/>
              <w:rPr>
                <w:rFonts w:hint="eastAsia"/>
                <w:lang w:val="en-US" w:eastAsia="zh-CN"/>
              </w:rPr>
            </w:pPr>
            <w:r>
              <w:rPr>
                <w:rFonts w:hint="eastAsia"/>
                <w:lang w:val="en-US" w:eastAsia="zh-CN"/>
              </w:rPr>
              <w:t>3、主电机功率：0.55KW</w:t>
            </w:r>
          </w:p>
          <w:p>
            <w:pPr>
              <w:widowControl/>
              <w:jc w:val="both"/>
              <w:rPr>
                <w:rFonts w:hint="eastAsia"/>
                <w:lang w:val="en-US" w:eastAsia="zh-CN"/>
              </w:rPr>
            </w:pPr>
            <w:r>
              <w:rPr>
                <w:rFonts w:hint="eastAsia"/>
                <w:lang w:val="en-US" w:eastAsia="zh-CN"/>
              </w:rPr>
              <w:t>4、主电机转速：1400r/min</w:t>
            </w:r>
          </w:p>
          <w:p>
            <w:pPr>
              <w:widowControl/>
              <w:jc w:val="both"/>
              <w:rPr>
                <w:rFonts w:hint="eastAsia"/>
                <w:lang w:val="en-US" w:eastAsia="zh-CN"/>
              </w:rPr>
            </w:pPr>
            <w:r>
              <w:rPr>
                <w:rFonts w:hint="eastAsia"/>
                <w:lang w:val="en-US" w:eastAsia="zh-CN"/>
              </w:rPr>
              <w:t>5、电机防护等级:IP44</w:t>
            </w:r>
          </w:p>
          <w:p>
            <w:pPr>
              <w:widowControl/>
              <w:jc w:val="both"/>
              <w:rPr>
                <w:rFonts w:hint="eastAsia"/>
                <w:lang w:val="en-US" w:eastAsia="zh-CN"/>
              </w:rPr>
            </w:pPr>
            <w:r>
              <w:rPr>
                <w:rFonts w:hint="eastAsia"/>
                <w:lang w:val="en-US" w:eastAsia="zh-CN"/>
              </w:rPr>
              <w:t>6、球磨罐转速：90r/min；瓷瓶球磨罐数量：2个</w:t>
            </w:r>
          </w:p>
          <w:p>
            <w:pPr>
              <w:widowControl/>
              <w:jc w:val="both"/>
              <w:rPr>
                <w:rFonts w:hint="eastAsia"/>
                <w:lang w:val="en-US" w:eastAsia="zh-CN"/>
              </w:rPr>
            </w:pPr>
            <w:r>
              <w:rPr>
                <w:rFonts w:hint="eastAsia"/>
                <w:lang w:val="en-US" w:eastAsia="zh-CN"/>
              </w:rPr>
              <w:t>7、单个球磨罐可装容量：1.5KG</w:t>
            </w:r>
          </w:p>
          <w:p>
            <w:pPr>
              <w:widowControl/>
              <w:jc w:val="both"/>
              <w:rPr>
                <w:rFonts w:hint="eastAsia"/>
                <w:lang w:val="en-US" w:eastAsia="zh-CN"/>
              </w:rPr>
            </w:pPr>
            <w:r>
              <w:rPr>
                <w:rFonts w:hint="eastAsia"/>
                <w:lang w:val="en-US" w:eastAsia="zh-CN"/>
              </w:rPr>
              <w:t>8、配套2个1.5KG球磨罐，及球磨子。</w:t>
            </w:r>
          </w:p>
          <w:p>
            <w:pPr>
              <w:widowControl/>
              <w:jc w:val="both"/>
              <w:rPr>
                <w:rFonts w:hint="eastAsia"/>
                <w:lang w:val="en-US" w:eastAsia="zh-CN"/>
              </w:rPr>
            </w:pPr>
            <w:r>
              <w:rPr>
                <w:rFonts w:hint="eastAsia"/>
                <w:lang w:val="en-US" w:eastAsia="zh-CN"/>
              </w:rPr>
              <w:t>产品说明：</w:t>
            </w:r>
          </w:p>
          <w:p>
            <w:pPr>
              <w:widowControl/>
              <w:jc w:val="both"/>
              <w:rPr>
                <w:rFonts w:hint="eastAsia"/>
                <w:lang w:val="en-US" w:eastAsia="zh-CN"/>
              </w:rPr>
            </w:pPr>
            <w:r>
              <w:rPr>
                <w:rFonts w:hint="eastAsia"/>
                <w:lang w:val="en-US" w:eastAsia="zh-CN"/>
              </w:rPr>
              <w:t>1.球磨机采用单相双值电容电机驱动，该电机采用高密度精工轴承，耐磨损，噪音低；使用全铜线圈，温度低，安全耐用，转子使用不锈钢材质，经精加工铸造成型，运行平稳。产品安全，稳定可靠。</w:t>
            </w:r>
          </w:p>
          <w:p>
            <w:pPr>
              <w:widowControl/>
              <w:jc w:val="both"/>
              <w:rPr>
                <w:rFonts w:hint="eastAsia"/>
                <w:lang w:val="en-US" w:eastAsia="zh-CN"/>
              </w:rPr>
            </w:pPr>
            <w:r>
              <w:rPr>
                <w:rFonts w:hint="eastAsia"/>
                <w:lang w:val="en-US" w:eastAsia="zh-CN"/>
              </w:rPr>
              <w:t>2.球磨机框架采用国标冷轧板，表面质量好，光洁度高，具有优良的焊接和喷涂性能；球磨罐支架采用聚氨酯球磨辊皮胶套，该材料耐磨性是天然橡胶的3-5倍，在室温下，胶辊能够吸收10%-20%的震动能量，震动频率越高，能量吸收越大。摩擦系数≧0.5.耐低温、耐臭氧、抗辐射、耐油性、粘结性能良好。</w:t>
            </w:r>
          </w:p>
          <w:p>
            <w:pPr>
              <w:widowControl/>
              <w:jc w:val="both"/>
              <w:rPr>
                <w:rFonts w:hint="eastAsia"/>
                <w:lang w:val="en-US" w:eastAsia="zh-CN"/>
              </w:rPr>
            </w:pPr>
            <w:r>
              <w:rPr>
                <w:rFonts w:hint="eastAsia"/>
                <w:lang w:val="en-US" w:eastAsia="zh-CN"/>
              </w:rPr>
              <w:t>3.球墨罐使用高铝净瓷球墨罐，外形美观，结实耐用。球磨子按釉料配置标准，球石采用氧化铝含量≧92%以上的高铝球磨石按1：1进行规格配比，提高球磨效率和细度。球墨罐塞子采用高分子材料加工而成，具有良好的密封性，防止水料溢出，方便实用。</w:t>
            </w:r>
          </w:p>
          <w:p>
            <w:pPr>
              <w:widowControl/>
              <w:jc w:val="both"/>
              <w:rPr>
                <w:rFonts w:hint="eastAsia"/>
                <w:lang w:val="en-US" w:eastAsia="zh-CN"/>
              </w:rPr>
            </w:pPr>
            <w:r>
              <w:rPr>
                <w:rFonts w:hint="eastAsia"/>
                <w:lang w:val="en-US" w:eastAsia="zh-CN"/>
              </w:rPr>
              <w:t>4.球磨机框架喷涂采用高分子静电粉末喷涂技术，表面色泽美观、安全可靠、表面耐磨性高、耐候性强。</w:t>
            </w:r>
          </w:p>
          <w:p>
            <w:pPr>
              <w:widowControl/>
              <w:jc w:val="both"/>
              <w:rPr>
                <w:rFonts w:hint="eastAsia"/>
                <w:lang w:val="en-US" w:eastAsia="zh-CN"/>
              </w:rPr>
            </w:pPr>
            <w:r>
              <w:rPr>
                <w:rFonts w:hint="eastAsia"/>
                <w:lang w:val="en-US" w:eastAsia="zh-CN"/>
              </w:rPr>
              <w:t xml:space="preserve">5.该机采用湿法形式对物料进行超细研磨或混合。经做试验该机转速调整到工作效果，根据不同物料粒度（物料粒度20目以下）及各异的物料性能（莫氏硬度７度以下），加工成超细粉（０.１微米-１０微米）。 </w:t>
            </w:r>
          </w:p>
          <w:p>
            <w:pPr>
              <w:widowControl/>
              <w:jc w:val="both"/>
              <w:rPr>
                <w:rFonts w:hint="default"/>
                <w:lang w:val="en-US" w:eastAsia="zh-CN"/>
              </w:rPr>
            </w:pPr>
            <w:r>
              <w:drawing>
                <wp:anchor distT="0" distB="0" distL="114300" distR="114300" simplePos="0" relativeHeight="251660288" behindDoc="0" locked="0" layoutInCell="1" allowOverlap="1">
                  <wp:simplePos x="0" y="0"/>
                  <wp:positionH relativeFrom="column">
                    <wp:posOffset>1114425</wp:posOffset>
                  </wp:positionH>
                  <wp:positionV relativeFrom="paragraph">
                    <wp:posOffset>80645</wp:posOffset>
                  </wp:positionV>
                  <wp:extent cx="1401445" cy="996315"/>
                  <wp:effectExtent l="0" t="0" r="8255" b="13335"/>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1401445" cy="996315"/>
                          </a:xfrm>
                          <a:prstGeom prst="rect">
                            <a:avLst/>
                          </a:prstGeom>
                          <a:noFill/>
                          <a:ln>
                            <a:noFill/>
                          </a:ln>
                        </pic:spPr>
                      </pic:pic>
                    </a:graphicData>
                  </a:graphic>
                </wp:anchor>
              </w:drawing>
            </w:r>
            <w:r>
              <w:rPr>
                <w:rFonts w:hint="eastAsia"/>
                <w:lang w:val="en-US" w:eastAsia="zh-CN"/>
              </w:rPr>
              <w:t>产品</w:t>
            </w:r>
            <w:r>
              <w:rPr>
                <w:rFonts w:hint="default"/>
                <w:lang w:val="en-US" w:eastAsia="zh-CN"/>
              </w:rPr>
              <w:t>参考图片：</w:t>
            </w:r>
          </w:p>
          <w:p>
            <w:pPr>
              <w:widowControl/>
              <w:jc w:val="both"/>
              <w:rPr>
                <w:rFonts w:hint="eastAsia"/>
                <w:lang w:val="en-US" w:eastAsia="zh-CN"/>
              </w:rPr>
            </w:pPr>
          </w:p>
          <w:p>
            <w:pPr>
              <w:pStyle w:val="2"/>
              <w:rPr>
                <w:rFonts w:hint="eastAsia"/>
                <w:lang w:val="en-US" w:eastAsia="zh-CN"/>
              </w:rPr>
            </w:pPr>
          </w:p>
          <w:p>
            <w:pPr>
              <w:rPr>
                <w:rFonts w:hint="eastAsia"/>
                <w:lang w:val="en-US" w:eastAsia="zh-CN"/>
              </w:rPr>
            </w:pPr>
          </w:p>
          <w:p>
            <w:pPr>
              <w:widowControl/>
              <w:jc w:val="both"/>
            </w:pPr>
          </w:p>
          <w:p>
            <w:pPr>
              <w:pStyle w:val="2"/>
            </w:pP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r>
              <w:t>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t>2450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网上询价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pPr>
            <w:r>
              <w:t>2450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737"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r>
              <w:rPr>
                <w:rFonts w:hint="eastAsia" w:ascii="宋体" w:hAnsi="宋体" w:cs="宋体"/>
                <w:kern w:val="0"/>
                <w:sz w:val="24"/>
                <w:lang w:bidi="ar"/>
              </w:rPr>
              <w:t>9</w:t>
            </w:r>
          </w:p>
        </w:tc>
        <w:tc>
          <w:tcPr>
            <w:tcW w:w="129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Cs w:val="22"/>
              </w:rPr>
            </w:pPr>
            <w:r>
              <w:rPr>
                <w:rFonts w:hint="eastAsia" w:ascii="宋体" w:hAnsi="宋体" w:cs="宋体"/>
                <w:kern w:val="0"/>
                <w:szCs w:val="21"/>
                <w:lang w:val="en-US" w:eastAsia="zh-CN"/>
              </w:rPr>
              <w:t>进口大型高温电窑</w:t>
            </w:r>
          </w:p>
        </w:tc>
        <w:tc>
          <w:tcPr>
            <w:tcW w:w="5159" w:type="dxa"/>
            <w:tcBorders>
              <w:top w:val="single" w:color="auto" w:sz="4" w:space="0"/>
              <w:left w:val="nil"/>
              <w:bottom w:val="single" w:color="auto" w:sz="4" w:space="0"/>
              <w:right w:val="single" w:color="auto" w:sz="4" w:space="0"/>
            </w:tcBorders>
            <w:vAlign w:val="center"/>
          </w:tcPr>
          <w:p>
            <w:pPr>
              <w:rPr>
                <w:rFonts w:hint="eastAsia"/>
              </w:rPr>
            </w:pPr>
            <w:r>
              <w:rPr>
                <w:rFonts w:hint="eastAsia"/>
                <w:lang w:val="en-US" w:eastAsia="zh-CN"/>
              </w:rPr>
              <w:t>1、</w:t>
            </w:r>
            <w:r>
              <w:rPr>
                <w:rFonts w:hint="eastAsia"/>
              </w:rPr>
              <w:t>外观尺寸</w:t>
            </w:r>
            <w:r>
              <w:t xml:space="preserve"> </w:t>
            </w:r>
            <w:r>
              <w:rPr>
                <w:rFonts w:hint="eastAsia"/>
              </w:rPr>
              <w:t>：</w:t>
            </w:r>
            <w:r>
              <w:rPr>
                <w:rFonts w:hint="eastAsia"/>
                <w:lang w:eastAsia="zh-CN"/>
              </w:rPr>
              <w:t>长宽高分别不大于</w:t>
            </w:r>
            <w:r>
              <w:t>W:1470 x D:1850 x H:2000mm</w:t>
            </w:r>
            <w:r>
              <w:tab/>
            </w:r>
          </w:p>
          <w:p>
            <w:pPr>
              <w:rPr>
                <w:rFonts w:hint="eastAsia"/>
              </w:rPr>
            </w:pPr>
            <w:r>
              <w:rPr>
                <w:rFonts w:hint="eastAsia"/>
                <w:lang w:val="en-US" w:eastAsia="zh-CN"/>
              </w:rPr>
              <w:t>2、</w:t>
            </w:r>
            <w:r>
              <w:rPr>
                <w:rFonts w:hint="eastAsia"/>
              </w:rPr>
              <w:t>炉内尺寸</w:t>
            </w:r>
            <w:r>
              <w:t xml:space="preserve"> </w:t>
            </w:r>
            <w:r>
              <w:rPr>
                <w:rFonts w:hint="eastAsia"/>
              </w:rPr>
              <w:t>：</w:t>
            </w:r>
            <w:r>
              <w:rPr>
                <w:rFonts w:hint="eastAsia"/>
                <w:lang w:eastAsia="zh-CN"/>
              </w:rPr>
              <w:t>长宽高分别不小于</w:t>
            </w:r>
            <w:r>
              <w:t>W:800 x D:1000 x H:1250mm  (1</w:t>
            </w:r>
            <w:r>
              <w:rPr>
                <w:rFonts w:hint="eastAsia"/>
              </w:rPr>
              <w:t>.0</w:t>
            </w:r>
            <w:r>
              <w:rPr>
                <w:rFonts w:hint="eastAsia"/>
                <w:lang w:eastAsia="zh-CN"/>
              </w:rPr>
              <w:t>立方米</w:t>
            </w:r>
            <w:r>
              <w:t>)</w:t>
            </w:r>
          </w:p>
          <w:p>
            <w:pPr>
              <w:rPr>
                <w:rFonts w:hint="eastAsia"/>
              </w:rPr>
            </w:pPr>
            <w:r>
              <w:rPr>
                <w:rFonts w:hint="eastAsia"/>
                <w:lang w:val="en-US" w:eastAsia="zh-CN"/>
              </w:rPr>
              <w:t>3、</w:t>
            </w:r>
            <w:r>
              <w:rPr>
                <w:rFonts w:hint="eastAsia"/>
              </w:rPr>
              <w:t>电量：</w:t>
            </w:r>
            <w:r>
              <w:rPr>
                <w:rFonts w:hint="eastAsia"/>
                <w:lang w:eastAsia="zh-CN"/>
              </w:rPr>
              <w:t>不大于</w:t>
            </w:r>
            <w:r>
              <w:rPr>
                <w:rFonts w:hint="eastAsia"/>
              </w:rPr>
              <w:t>三相</w:t>
            </w:r>
            <w:r>
              <w:t xml:space="preserve"> 380V</w:t>
            </w:r>
            <w:r>
              <w:rPr>
                <w:rFonts w:hint="eastAsia"/>
              </w:rPr>
              <w:t>・</w:t>
            </w:r>
            <w:r>
              <w:t xml:space="preserve">75KW </w:t>
            </w:r>
            <w:r>
              <w:rPr>
                <w:rFonts w:hint="eastAsia"/>
              </w:rPr>
              <w:t>・</w:t>
            </w:r>
            <w:r>
              <w:t>44A</w:t>
            </w:r>
            <w:r>
              <w:tab/>
            </w:r>
          </w:p>
          <w:p>
            <w:pPr>
              <w:rPr>
                <w:rFonts w:hint="eastAsia"/>
              </w:rPr>
            </w:pPr>
            <w:r>
              <w:rPr>
                <w:rFonts w:hint="eastAsia"/>
                <w:lang w:val="en-US" w:eastAsia="zh-CN"/>
              </w:rPr>
              <w:t>4、</w:t>
            </w:r>
            <w:r>
              <w:rPr>
                <w:rFonts w:hint="eastAsia"/>
              </w:rPr>
              <w:t>最高烧成温度：</w:t>
            </w:r>
            <w:r>
              <w:rPr>
                <w:rFonts w:hint="eastAsia"/>
                <w:lang w:eastAsia="zh-CN"/>
              </w:rPr>
              <w:t>不低于</w:t>
            </w:r>
            <w:r>
              <w:t>1340</w:t>
            </w:r>
            <w:r>
              <w:rPr>
                <w:rFonts w:hint="eastAsia"/>
              </w:rPr>
              <w:t>℃</w:t>
            </w:r>
            <w:r>
              <w:t xml:space="preserve">    </w:t>
            </w:r>
          </w:p>
          <w:p>
            <w:r>
              <w:rPr>
                <w:rFonts w:hint="eastAsia"/>
                <w:lang w:val="en-US" w:eastAsia="zh-CN"/>
              </w:rPr>
              <w:t>5、</w:t>
            </w:r>
            <w:r>
              <w:rPr>
                <w:rFonts w:hint="eastAsia"/>
              </w:rPr>
              <w:t>重量：</w:t>
            </w:r>
            <w:r>
              <w:rPr>
                <w:rFonts w:hint="eastAsia"/>
                <w:lang w:eastAsia="zh-CN"/>
              </w:rPr>
              <w:t>不大于</w:t>
            </w:r>
            <w:r>
              <w:t>23</w:t>
            </w:r>
            <w:r>
              <w:rPr>
                <w:rFonts w:hint="eastAsia"/>
                <w:lang w:val="en-US" w:eastAsia="zh-CN"/>
              </w:rPr>
              <w:t>50</w:t>
            </w:r>
            <w:r>
              <w:t>kg</w:t>
            </w:r>
            <w:r>
              <w:tab/>
            </w:r>
            <w:r>
              <w:tab/>
            </w:r>
          </w:p>
          <w:p>
            <w:pPr>
              <w:rPr>
                <w:rFonts w:hint="eastAsia"/>
              </w:rPr>
            </w:pPr>
            <w:r>
              <w:rPr>
                <w:rFonts w:hint="eastAsia"/>
                <w:lang w:val="en-US" w:eastAsia="zh-CN"/>
              </w:rPr>
              <w:t>6、</w:t>
            </w:r>
            <w:r>
              <w:rPr>
                <w:rFonts w:hint="eastAsia"/>
              </w:rPr>
              <w:t>烧成方式：电脑智能控温、自动烧成</w:t>
            </w:r>
          </w:p>
          <w:p>
            <w:pPr>
              <w:rPr>
                <w:rFonts w:hint="eastAsia"/>
                <w:sz w:val="21"/>
                <w:szCs w:val="21"/>
                <w:lang w:val="en-US" w:eastAsia="zh-CN"/>
              </w:rPr>
            </w:pPr>
            <w:r>
              <w:rPr>
                <w:rFonts w:hint="eastAsia"/>
                <w:lang w:val="en-US" w:eastAsia="zh-CN"/>
              </w:rPr>
              <w:t>7、</w:t>
            </w:r>
            <w:r>
              <w:rPr>
                <w:rFonts w:hint="eastAsia"/>
              </w:rPr>
              <w:t>双层炉壳</w:t>
            </w:r>
            <w:r>
              <w:rPr>
                <w:rFonts w:hint="eastAsia"/>
                <w:lang w:eastAsia="zh-CN"/>
              </w:rPr>
              <w:t>，</w:t>
            </w:r>
            <w:r>
              <w:rPr>
                <w:rFonts w:hint="eastAsia"/>
                <w:sz w:val="21"/>
                <w:szCs w:val="21"/>
                <w:lang w:val="en-US" w:eastAsia="zh-CN"/>
              </w:rPr>
              <w:t>炉门外壳采用带条纹的不锈钢材质制成；</w:t>
            </w:r>
          </w:p>
          <w:p>
            <w:pPr>
              <w:rPr>
                <w:rFonts w:hint="eastAsia"/>
                <w:lang w:val="en-US" w:eastAsia="zh-CN"/>
              </w:rPr>
            </w:pPr>
            <w:r>
              <w:rPr>
                <w:rFonts w:hint="eastAsia"/>
                <w:lang w:val="en-US" w:eastAsia="zh-CN"/>
              </w:rPr>
              <w:t>窑内采用自承式拱形炉顶结构；</w:t>
            </w:r>
          </w:p>
          <w:p>
            <w:pPr>
              <w:rPr>
                <w:rFonts w:hint="eastAsia"/>
                <w:lang w:eastAsia="zh-CN"/>
              </w:rPr>
            </w:pPr>
            <w:r>
              <w:rPr>
                <w:rFonts w:hint="eastAsia"/>
                <w:lang w:val="en-US" w:eastAsia="zh-CN"/>
              </w:rPr>
              <w:t>8、</w:t>
            </w:r>
            <w:r>
              <w:rPr>
                <w:rFonts w:hint="eastAsia"/>
              </w:rPr>
              <w:t>炉内</w:t>
            </w:r>
            <w:r>
              <w:rPr>
                <w:rFonts w:hint="eastAsia"/>
                <w:lang w:val="en-US" w:eastAsia="zh-CN"/>
              </w:rPr>
              <w:t>须为由</w:t>
            </w:r>
            <w:r>
              <w:rPr>
                <w:rFonts w:hint="eastAsia"/>
              </w:rPr>
              <w:t>轻质耐火砖</w:t>
            </w:r>
            <w:r>
              <w:rPr>
                <w:rFonts w:hint="eastAsia"/>
                <w:lang w:eastAsia="zh-CN"/>
              </w:rPr>
              <w:t>、具有背衬隔热材料组成的多层隔热层；</w:t>
            </w:r>
          </w:p>
          <w:p>
            <w:pPr>
              <w:rPr>
                <w:rFonts w:hint="eastAsia"/>
                <w:lang w:val="en-US" w:eastAsia="zh-CN"/>
              </w:rPr>
            </w:pPr>
            <w:r>
              <w:rPr>
                <w:rFonts w:hint="eastAsia"/>
                <w:lang w:val="en-US" w:eastAsia="zh-CN"/>
              </w:rPr>
              <w:t>9、窑内须为碳化硅底板。</w:t>
            </w:r>
          </w:p>
          <w:p>
            <w:pPr>
              <w:rPr>
                <w:rFonts w:hint="eastAsia"/>
                <w:lang w:val="en-US" w:eastAsia="zh-CN"/>
              </w:rPr>
            </w:pPr>
            <w:r>
              <w:rPr>
                <w:rFonts w:hint="eastAsia"/>
                <w:lang w:val="en-US" w:eastAsia="zh-CN"/>
              </w:rPr>
              <w:t>10、炉底须带滚轮，带自由转向系统的台车可自由拉出移动，配备可拆卸的牵引拉杆。</w:t>
            </w:r>
          </w:p>
          <w:p>
            <w:pPr>
              <w:rPr>
                <w:rFonts w:hint="eastAsia"/>
                <w:lang w:val="en-US" w:eastAsia="zh-CN"/>
              </w:rPr>
            </w:pPr>
            <w:r>
              <w:rPr>
                <w:rFonts w:hint="eastAsia"/>
                <w:lang w:val="en-US" w:eastAsia="zh-CN"/>
              </w:rPr>
              <w:t>11、窑炉须具有炉门内锁安全断电保护开关（当炉门开启时，炉门内锁安全开关会自动切断加热丝电源）</w:t>
            </w:r>
          </w:p>
          <w:p>
            <w:pPr>
              <w:rPr>
                <w:rFonts w:hint="eastAsia"/>
                <w:lang w:eastAsia="zh-CN"/>
              </w:rPr>
            </w:pPr>
            <w:r>
              <w:rPr>
                <w:rFonts w:hint="eastAsia"/>
                <w:lang w:val="en-US" w:eastAsia="zh-CN"/>
              </w:rPr>
              <w:t>12、</w:t>
            </w:r>
            <w:r>
              <w:rPr>
                <w:rFonts w:hint="eastAsia"/>
              </w:rPr>
              <w:t>五面加热</w:t>
            </w:r>
            <w:r>
              <w:rPr>
                <w:rFonts w:hint="eastAsia"/>
                <w:lang w:eastAsia="zh-CN"/>
              </w:rPr>
              <w:t>，</w:t>
            </w:r>
            <w:r>
              <w:rPr>
                <w:rFonts w:hint="eastAsia"/>
                <w:lang w:val="en-US" w:eastAsia="zh-CN"/>
              </w:rPr>
              <w:t>加热元件安装在支撑管上；</w:t>
            </w:r>
          </w:p>
          <w:p>
            <w:pPr>
              <w:rPr>
                <w:rFonts w:hint="eastAsia"/>
              </w:rPr>
            </w:pPr>
            <w:r>
              <w:rPr>
                <w:rFonts w:hint="eastAsia"/>
                <w:lang w:val="en-US" w:eastAsia="zh-CN"/>
              </w:rPr>
              <w:t>13、采用S型热电偶，测温范围0-1600℃；</w:t>
            </w:r>
          </w:p>
          <w:p>
            <w:pPr>
              <w:rPr>
                <w:rFonts w:hint="eastAsia"/>
                <w:lang w:val="en-US" w:eastAsia="zh-CN"/>
              </w:rPr>
            </w:pPr>
            <w:r>
              <w:rPr>
                <w:rFonts w:hint="eastAsia"/>
                <w:lang w:val="en-US" w:eastAsia="zh-CN"/>
              </w:rPr>
              <w:t>14、</w:t>
            </w:r>
            <w:r>
              <w:rPr>
                <w:rFonts w:hint="eastAsia"/>
              </w:rPr>
              <w:t>五面加热</w:t>
            </w:r>
            <w:r>
              <w:rPr>
                <w:rFonts w:hint="eastAsia"/>
                <w:lang w:eastAsia="zh-CN"/>
              </w:rPr>
              <w:t>，</w:t>
            </w:r>
            <w:r>
              <w:rPr>
                <w:rFonts w:hint="eastAsia"/>
                <w:lang w:val="en-US" w:eastAsia="zh-CN"/>
              </w:rPr>
              <w:t>加热元件安装在支撑管上；</w:t>
            </w:r>
          </w:p>
          <w:p>
            <w:pPr>
              <w:rPr>
                <w:rFonts w:hint="eastAsia"/>
                <w:lang w:val="en-US" w:eastAsia="zh-CN"/>
              </w:rPr>
            </w:pPr>
            <w:r>
              <w:rPr>
                <w:rFonts w:hint="eastAsia"/>
                <w:lang w:val="en-US" w:eastAsia="zh-CN"/>
              </w:rPr>
              <w:t>15、炉顶盖的中央须设有一个自动排气口以及自动排气盖，排气口尺寸为145mm±15mm*145mm±15mm；</w:t>
            </w:r>
          </w:p>
          <w:p>
            <w:pPr>
              <w:rPr>
                <w:rFonts w:hint="default"/>
                <w:lang w:val="en-US" w:eastAsia="zh-CN"/>
              </w:rPr>
            </w:pPr>
            <w:r>
              <w:rPr>
                <w:rFonts w:hint="eastAsia"/>
                <w:lang w:val="en-US" w:eastAsia="zh-CN"/>
              </w:rPr>
              <w:t>16、安装支架后装料高度为500mm±15mm，可从三面进行装料。</w:t>
            </w:r>
          </w:p>
          <w:p>
            <w:pPr>
              <w:rPr>
                <w:rFonts w:hint="eastAsia"/>
                <w:lang w:val="en-US" w:eastAsia="zh-CN"/>
              </w:rPr>
            </w:pPr>
            <w:r>
              <w:rPr>
                <w:rFonts w:hint="eastAsia"/>
                <w:lang w:val="en-US" w:eastAsia="zh-CN"/>
              </w:rPr>
              <w:t>17、窑炉使用可拆卸的控制器，安装在窑门上，可移动；18、</w:t>
            </w:r>
            <w:r>
              <w:rPr>
                <w:rFonts w:hint="eastAsia"/>
              </w:rPr>
              <w:t>电脑智能控温系统</w:t>
            </w:r>
            <w:r>
              <w:rPr>
                <w:rFonts w:hint="eastAsia"/>
                <w:lang w:eastAsia="zh-CN"/>
              </w:rPr>
              <w:t>可用一个</w:t>
            </w:r>
            <w:r>
              <w:rPr>
                <w:rFonts w:hint="eastAsia"/>
                <w:lang w:val="en-US" w:eastAsia="zh-CN"/>
              </w:rPr>
              <w:t>USB闪存记录烧成过程数据；</w:t>
            </w:r>
          </w:p>
          <w:p>
            <w:pPr>
              <w:rPr>
                <w:rFonts w:hint="eastAsia"/>
                <w:lang w:val="en-US" w:eastAsia="zh-CN"/>
              </w:rPr>
            </w:pPr>
            <w:r>
              <w:rPr>
                <w:rFonts w:hint="eastAsia"/>
                <w:lang w:val="en-US" w:eastAsia="zh-CN"/>
              </w:rPr>
              <w:t>19、窑炉只使用根据TRGS 905标准分类为不致癌的一类或二类纤维材料；</w:t>
            </w:r>
          </w:p>
          <w:p>
            <w:pPr>
              <w:rPr>
                <w:rFonts w:hint="eastAsia"/>
                <w:lang w:val="en-US" w:eastAsia="zh-CN"/>
              </w:rPr>
            </w:pPr>
            <w:r>
              <w:rPr>
                <w:rFonts w:hint="eastAsia"/>
                <w:lang w:val="en-US" w:eastAsia="zh-CN"/>
              </w:rPr>
              <w:t>20、</w:t>
            </w:r>
            <w:r>
              <w:rPr>
                <w:rFonts w:hint="eastAsia" w:eastAsia="宋体"/>
                <w:lang w:eastAsia="zh-CN"/>
              </w:rPr>
              <w:t>配备</w:t>
            </w:r>
            <w:r>
              <w:rPr>
                <w:rFonts w:hint="eastAsia"/>
              </w:rPr>
              <w:t>1立方窑炉</w:t>
            </w:r>
            <w:r>
              <w:rPr>
                <w:rFonts w:hint="eastAsia"/>
                <w:lang w:eastAsia="zh-CN"/>
              </w:rPr>
              <w:t>正常烧制使用所需的</w:t>
            </w:r>
            <w:r>
              <w:rPr>
                <w:rFonts w:hint="eastAsia" w:eastAsia="宋体"/>
                <w:lang w:eastAsia="zh-CN"/>
              </w:rPr>
              <w:t>棚板</w:t>
            </w:r>
            <w:r>
              <w:rPr>
                <w:rFonts w:hint="eastAsia"/>
              </w:rPr>
              <w:t>与立柱窑具</w:t>
            </w:r>
            <w:r>
              <w:rPr>
                <w:rFonts w:hint="eastAsia" w:eastAsia="宋体"/>
                <w:lang w:eastAsia="zh-CN"/>
              </w:rPr>
              <w:t>附件</w:t>
            </w:r>
            <w:r>
              <w:rPr>
                <w:rFonts w:hint="eastAsia"/>
                <w:lang w:eastAsia="zh-CN"/>
              </w:rPr>
              <w:t>。</w:t>
            </w:r>
          </w:p>
          <w:p>
            <w:pPr>
              <w:widowControl/>
              <w:jc w:val="left"/>
              <w:rPr>
                <w:rFonts w:hint="eastAsia"/>
              </w:rPr>
            </w:pPr>
            <w:r>
              <w:rPr>
                <w:rFonts w:hint="eastAsia"/>
                <w:lang w:eastAsia="zh-CN"/>
              </w:rPr>
              <w:t>产品参考图片：</w:t>
            </w:r>
            <w:r>
              <w:rPr>
                <w:rFonts w:hint="eastAsia"/>
              </w:rPr>
              <w:t xml:space="preserve"> </w:t>
            </w:r>
          </w:p>
          <w:p>
            <w:pPr>
              <w:pStyle w:val="2"/>
              <w:rPr>
                <w:rFonts w:hint="eastAsia"/>
              </w:rPr>
            </w:pPr>
          </w:p>
          <w:p>
            <w:pPr>
              <w:pStyle w:val="2"/>
              <w:rPr>
                <w:rFonts w:hint="eastAsia"/>
              </w:rPr>
            </w:pPr>
            <w:r>
              <w:drawing>
                <wp:anchor distT="0" distB="0" distL="114300" distR="114300" simplePos="0" relativeHeight="251666432" behindDoc="0" locked="0" layoutInCell="1" allowOverlap="1">
                  <wp:simplePos x="0" y="0"/>
                  <wp:positionH relativeFrom="column">
                    <wp:posOffset>452755</wp:posOffset>
                  </wp:positionH>
                  <wp:positionV relativeFrom="paragraph">
                    <wp:posOffset>3175</wp:posOffset>
                  </wp:positionV>
                  <wp:extent cx="2329180" cy="2262505"/>
                  <wp:effectExtent l="0" t="0" r="13970" b="4445"/>
                  <wp:wrapNone/>
                  <wp:docPr id="23" name="图片 2" descr="NW440_f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NW440_fmt"/>
                          <pic:cNvPicPr>
                            <a:picLocks noChangeAspect="1"/>
                          </pic:cNvPicPr>
                        </pic:nvPicPr>
                        <pic:blipFill>
                          <a:blip r:embed="rId9"/>
                          <a:stretch>
                            <a:fillRect/>
                          </a:stretch>
                        </pic:blipFill>
                        <pic:spPr>
                          <a:xfrm>
                            <a:off x="0" y="0"/>
                            <a:ext cx="2329180" cy="2262505"/>
                          </a:xfrm>
                          <a:prstGeom prst="rect">
                            <a:avLst/>
                          </a:prstGeom>
                          <a:noFill/>
                          <a:ln>
                            <a:noFill/>
                          </a:ln>
                        </pic:spPr>
                      </pic:pic>
                    </a:graphicData>
                  </a:graphic>
                </wp:anchor>
              </w:drawing>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widowControl/>
            </w:pPr>
            <w:r>
              <w:drawing>
                <wp:inline distT="0" distB="0" distL="114300" distR="114300">
                  <wp:extent cx="635" cy="0"/>
                  <wp:effectExtent l="0" t="0" r="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0"/>
                          <a:stretch>
                            <a:fillRect/>
                          </a:stretch>
                        </pic:blipFill>
                        <pic:spPr>
                          <a:xfrm>
                            <a:off x="0" y="0"/>
                            <a:ext cx="635" cy="0"/>
                          </a:xfrm>
                          <a:prstGeom prst="rect">
                            <a:avLst/>
                          </a:prstGeom>
                          <a:noFill/>
                          <a:ln>
                            <a:noFill/>
                          </a:ln>
                        </pic:spPr>
                      </pic:pic>
                    </a:graphicData>
                  </a:graphic>
                </wp:inline>
              </w:drawing>
            </w:r>
          </w:p>
          <w:p/>
          <w:p>
            <w:pPr>
              <w:pStyle w:val="2"/>
              <w:rPr>
                <w:rFonts w:ascii="宋体" w:hAnsi="宋体" w:cs="宋体"/>
                <w:color w:val="000000"/>
                <w:kern w:val="0"/>
                <w:szCs w:val="22"/>
              </w:rPr>
            </w:pP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r>
              <w:t>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t>360000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网上询价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pPr>
            <w:r>
              <w:t>360000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737"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r>
              <w:rPr>
                <w:rFonts w:hint="eastAsia" w:ascii="宋体" w:hAnsi="宋体" w:cs="宋体"/>
                <w:kern w:val="0"/>
                <w:sz w:val="24"/>
                <w:lang w:bidi="ar"/>
              </w:rPr>
              <w:t>10</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沉淀洗手池</w:t>
            </w:r>
          </w:p>
        </w:tc>
        <w:tc>
          <w:tcPr>
            <w:tcW w:w="51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1、尺寸： 1800*700*800MM</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2、材料组成：304不锈钢</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3、水龙头：3个不锈钢水龙头</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4、下水：含过滤防臭型下水</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5、沉淀池材质：不锈钢   沉淀池过滤网：不锈钢</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6、沉淀池尺寸：1500*400*400MM</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7、进水管材质： 耐高温高压钢丝编织波纹管及PPR硬质管，不锈钢水池采用国标304不锈钢板材一体焊接而成，整体结构简洁稳固。</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8、水池结构采用可拆卸结构，同时沉淀池和进水管接口采用双向可变换设计，方便使用现场不同进水口位置安装，整个水池配备水龙头、进水管、耐高温高压钢丝编织波纹管、下水、沉淀池、直通、三通等配件，方便老师使用和后期维护。</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9、沉淀池采用二级沉淀装置，方便泥浆等悬浊液能够在一定时间沉淀后进行清理，防止堵塞下游下水道。</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10、沉淀池配备四个把手，底部沉淀池安装四个万向轮，方便清理人员对沉淀池中的沉淀物清理和移动。</w:t>
            </w:r>
          </w:p>
          <w:p>
            <w:pPr>
              <w:widowControl/>
              <w:jc w:val="left"/>
              <w:rPr>
                <w:rFonts w:hint="eastAsia" w:ascii="宋体" w:hAnsi="宋体" w:eastAsia="宋体" w:cs="宋体"/>
                <w:szCs w:val="21"/>
              </w:rPr>
            </w:pPr>
            <w:r>
              <w:drawing>
                <wp:anchor distT="0" distB="0" distL="114300" distR="114300" simplePos="0" relativeHeight="251664384" behindDoc="0" locked="0" layoutInCell="1" allowOverlap="1">
                  <wp:simplePos x="0" y="0"/>
                  <wp:positionH relativeFrom="column">
                    <wp:posOffset>1143000</wp:posOffset>
                  </wp:positionH>
                  <wp:positionV relativeFrom="paragraph">
                    <wp:posOffset>142875</wp:posOffset>
                  </wp:positionV>
                  <wp:extent cx="1495425" cy="1121410"/>
                  <wp:effectExtent l="0" t="0" r="9525" b="2540"/>
                  <wp:wrapNone/>
                  <wp:docPr id="18" name="图片 10" descr="不锈钢水池高教基础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不锈钢水池高教基础款"/>
                          <pic:cNvPicPr>
                            <a:picLocks noChangeAspect="1"/>
                          </pic:cNvPicPr>
                        </pic:nvPicPr>
                        <pic:blipFill>
                          <a:blip r:embed="rId11"/>
                          <a:srcRect b="5612"/>
                          <a:stretch>
                            <a:fillRect/>
                          </a:stretch>
                        </pic:blipFill>
                        <pic:spPr>
                          <a:xfrm>
                            <a:off x="0" y="0"/>
                            <a:ext cx="1495425" cy="1121410"/>
                          </a:xfrm>
                          <a:prstGeom prst="rect">
                            <a:avLst/>
                          </a:prstGeom>
                          <a:noFill/>
                          <a:ln>
                            <a:noFill/>
                          </a:ln>
                        </pic:spPr>
                      </pic:pic>
                    </a:graphicData>
                  </a:graphic>
                </wp:anchor>
              </w:drawing>
            </w:r>
            <w:r>
              <w:rPr>
                <w:rFonts w:hint="eastAsia" w:ascii="宋体" w:hAnsi="宋体" w:eastAsia="宋体" w:cs="宋体"/>
                <w:szCs w:val="21"/>
                <w:lang w:eastAsia="zh-CN"/>
              </w:rPr>
              <w:t>产品参考图片：</w:t>
            </w:r>
            <w:r>
              <w:rPr>
                <w:rFonts w:hint="eastAsia" w:ascii="宋体" w:hAnsi="宋体" w:eastAsia="宋体" w:cs="宋体"/>
                <w:szCs w:val="21"/>
              </w:rPr>
              <w:t xml:space="preserve"> </w:t>
            </w:r>
          </w:p>
          <w:p>
            <w:pPr>
              <w:pStyle w:val="2"/>
              <w:rPr>
                <w:rFonts w:hint="eastAsia" w:ascii="宋体" w:hAnsi="宋体" w:eastAsia="宋体" w:cs="宋体"/>
                <w:szCs w:val="21"/>
              </w:rPr>
            </w:pPr>
          </w:p>
          <w:p>
            <w:pPr>
              <w:rPr>
                <w:rFonts w:hint="eastAsia" w:ascii="宋体" w:hAnsi="宋体" w:eastAsia="宋体" w:cs="宋体"/>
                <w:szCs w:val="21"/>
              </w:rPr>
            </w:pPr>
          </w:p>
          <w:p>
            <w:pPr>
              <w:pStyle w:val="2"/>
              <w:rPr>
                <w:rFonts w:hint="eastAsia"/>
              </w:rPr>
            </w:pPr>
          </w:p>
          <w:p>
            <w:pPr>
              <w:pStyle w:val="2"/>
              <w:rPr>
                <w:rFonts w:hint="eastAsia"/>
              </w:rPr>
            </w:pPr>
          </w:p>
          <w:p>
            <w:pPr>
              <w:widowControl/>
              <w:rPr>
                <w:rFonts w:ascii="宋体" w:hAnsi="宋体" w:cs="宋体"/>
                <w:color w:val="000000"/>
                <w:kern w:val="0"/>
                <w:szCs w:val="22"/>
              </w:rPr>
            </w:pP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r>
              <w:t>2</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t>5200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网上询价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pPr>
            <w:r>
              <w:t>10400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737"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r>
              <w:rPr>
                <w:rFonts w:hint="eastAsia" w:ascii="宋体" w:hAnsi="宋体" w:cs="宋体"/>
                <w:kern w:val="0"/>
                <w:sz w:val="24"/>
                <w:lang w:bidi="ar"/>
              </w:rPr>
              <w:t>11</w:t>
            </w: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r>
              <w:rPr>
                <w:rFonts w:hint="eastAsia" w:ascii="宋体" w:hAnsi="宋体" w:cs="宋体"/>
                <w:color w:val="000000"/>
                <w:kern w:val="0"/>
                <w:szCs w:val="22"/>
              </w:rPr>
              <w:t>不锈钢配釉柜</w:t>
            </w:r>
          </w:p>
        </w:tc>
        <w:tc>
          <w:tcPr>
            <w:tcW w:w="515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尺寸：L2200*W600*H850mm,</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材质：采用国标201不锈钢做整体结构，厚度约1.5mm。采用国标不锈钢管做骨架，尺寸为38*38mm，有承重的作用。</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整体重量不低于120公斤。</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桌面不锈钢采用拉丝的表面处理方式，呈现亚光质感。</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表面和框架外部经过二次抛光打磨，保证平整度和光泽度。</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底部装有6个可以调节高低的不锈钢带TPU防震胶脚杯，通过调节脚杯可以使桌子适合不同的地面使用要求。</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共有10个尺寸为H500*W200*L350mm釉料储存内斗。</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内斗飘沿配备了硅胶缓冲材质，使得内斗装满釉料合上的瞬间可以做到适度静音。</w:t>
            </w:r>
          </w:p>
          <w:p>
            <w:pPr>
              <w:widowControl/>
              <w:jc w:val="left"/>
              <w:rPr>
                <w:rFonts w:hint="eastAsia" w:ascii="宋体" w:hAnsi="宋体" w:eastAsia="宋体" w:cs="宋体"/>
                <w:szCs w:val="21"/>
              </w:rPr>
            </w:pPr>
            <w:r>
              <w:drawing>
                <wp:anchor distT="0" distB="0" distL="114300" distR="114300" simplePos="0" relativeHeight="251665408" behindDoc="0" locked="0" layoutInCell="1" allowOverlap="1">
                  <wp:simplePos x="0" y="0"/>
                  <wp:positionH relativeFrom="column">
                    <wp:posOffset>996315</wp:posOffset>
                  </wp:positionH>
                  <wp:positionV relativeFrom="paragraph">
                    <wp:posOffset>96520</wp:posOffset>
                  </wp:positionV>
                  <wp:extent cx="1374140" cy="1023620"/>
                  <wp:effectExtent l="0" t="0" r="16510" b="5080"/>
                  <wp:wrapNone/>
                  <wp:docPr id="20" name="图片 2" descr="0d03a6fabc474f6c9a9c3d919841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0d03a6fabc474f6c9a9c3d919841cce"/>
                          <pic:cNvPicPr>
                            <a:picLocks noChangeAspect="1"/>
                          </pic:cNvPicPr>
                        </pic:nvPicPr>
                        <pic:blipFill>
                          <a:blip r:embed="rId12"/>
                          <a:srcRect t="14349" b="13506"/>
                          <a:stretch>
                            <a:fillRect/>
                          </a:stretch>
                        </pic:blipFill>
                        <pic:spPr>
                          <a:xfrm>
                            <a:off x="0" y="0"/>
                            <a:ext cx="1374140" cy="1023620"/>
                          </a:xfrm>
                          <a:prstGeom prst="rect">
                            <a:avLst/>
                          </a:prstGeom>
                          <a:noFill/>
                          <a:ln>
                            <a:noFill/>
                          </a:ln>
                        </pic:spPr>
                      </pic:pic>
                    </a:graphicData>
                  </a:graphic>
                </wp:anchor>
              </w:drawing>
            </w:r>
            <w:r>
              <w:rPr>
                <w:rFonts w:hint="eastAsia" w:ascii="宋体" w:hAnsi="宋体" w:eastAsia="宋体" w:cs="宋体"/>
                <w:szCs w:val="21"/>
                <w:lang w:eastAsia="zh-CN"/>
              </w:rPr>
              <w:t>产品参考图片：</w:t>
            </w:r>
            <w:r>
              <w:rPr>
                <w:rFonts w:hint="eastAsia" w:ascii="宋体" w:hAnsi="宋体" w:eastAsia="宋体" w:cs="宋体"/>
                <w:szCs w:val="21"/>
              </w:rPr>
              <w:t xml:space="preserve"> </w:t>
            </w:r>
          </w:p>
          <w:p>
            <w:pPr>
              <w:pStyle w:val="2"/>
              <w:rPr>
                <w:rFonts w:hint="eastAsia" w:ascii="宋体" w:hAnsi="宋体" w:eastAsia="宋体" w:cs="宋体"/>
                <w:szCs w:val="21"/>
              </w:rPr>
            </w:pPr>
          </w:p>
          <w:p>
            <w:pPr>
              <w:rPr>
                <w:rFonts w:hint="eastAsia" w:ascii="宋体" w:hAnsi="宋体" w:eastAsia="宋体" w:cs="宋体"/>
                <w:szCs w:val="21"/>
              </w:rPr>
            </w:pPr>
          </w:p>
          <w:p>
            <w:pPr>
              <w:pStyle w:val="2"/>
              <w:rPr>
                <w:rFonts w:hint="eastAsia" w:ascii="宋体" w:hAnsi="宋体" w:eastAsia="宋体" w:cs="宋体"/>
                <w:szCs w:val="21"/>
              </w:rPr>
            </w:pPr>
          </w:p>
          <w:p>
            <w:pPr>
              <w:widowControl/>
              <w:rPr>
                <w:rFonts w:ascii="宋体" w:hAnsi="宋体" w:cs="宋体"/>
                <w:color w:val="000000"/>
                <w:kern w:val="0"/>
                <w:szCs w:val="22"/>
              </w:rPr>
            </w:pP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r>
              <w:rPr>
                <w:rFonts w:hint="eastAsia"/>
              </w:rPr>
              <w:t>2</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r>
              <w:t>20000</w:t>
            </w: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网上询价</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pPr>
            <w:r>
              <w:t>40000</w:t>
            </w:r>
          </w:p>
        </w:tc>
        <w:tc>
          <w:tcPr>
            <w:tcW w:w="1193" w:type="dxa"/>
            <w:tcBorders>
              <w:top w:val="single" w:color="auto" w:sz="4" w:space="0"/>
              <w:left w:val="nil"/>
              <w:bottom w:val="single" w:color="auto" w:sz="4" w:space="0"/>
              <w:right w:val="single" w:color="auto" w:sz="12" w:space="0"/>
            </w:tcBorders>
            <w:vAlign w:val="center"/>
          </w:tcPr>
          <w:p>
            <w:pPr>
              <w:jc w:val="center"/>
            </w:pPr>
            <w:r>
              <w:rPr>
                <w:rFonts w:hint="eastAsia"/>
              </w:rPr>
              <w:t>陶艺实训室</w:t>
            </w:r>
          </w:p>
        </w:tc>
      </w:tr>
      <w:tr>
        <w:tblPrEx>
          <w:tblCellMar>
            <w:top w:w="0" w:type="dxa"/>
            <w:left w:w="108" w:type="dxa"/>
            <w:bottom w:w="0" w:type="dxa"/>
            <w:right w:w="108" w:type="dxa"/>
          </w:tblCellMar>
        </w:tblPrEx>
        <w:trPr>
          <w:trHeight w:val="737" w:hRule="atLeast"/>
          <w:jc w:val="center"/>
        </w:trPr>
        <w:tc>
          <w:tcPr>
            <w:tcW w:w="659" w:type="dxa"/>
            <w:tcBorders>
              <w:top w:val="single" w:color="auto" w:sz="4" w:space="0"/>
              <w:left w:val="single" w:color="auto" w:sz="12" w:space="0"/>
              <w:bottom w:val="single" w:color="auto" w:sz="4" w:space="0"/>
              <w:right w:val="single" w:color="auto" w:sz="4" w:space="0"/>
            </w:tcBorders>
            <w:vAlign w:val="center"/>
          </w:tcPr>
          <w:p>
            <w:pPr>
              <w:widowControl/>
              <w:jc w:val="center"/>
              <w:textAlignment w:val="bottom"/>
              <w:rPr>
                <w:rFonts w:ascii="宋体" w:hAnsi="宋体" w:cs="宋体"/>
                <w:kern w:val="0"/>
                <w:sz w:val="24"/>
                <w:lang w:bidi="ar"/>
              </w:rPr>
            </w:pPr>
          </w:p>
        </w:tc>
        <w:tc>
          <w:tcPr>
            <w:tcW w:w="1290" w:type="dxa"/>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color w:val="000000"/>
                <w:kern w:val="0"/>
                <w:szCs w:val="22"/>
              </w:rPr>
            </w:pPr>
          </w:p>
        </w:tc>
        <w:tc>
          <w:tcPr>
            <w:tcW w:w="5159" w:type="dxa"/>
            <w:tcBorders>
              <w:top w:val="single" w:color="auto" w:sz="4" w:space="0"/>
              <w:left w:val="nil"/>
              <w:bottom w:val="single" w:color="auto" w:sz="4" w:space="0"/>
              <w:right w:val="single" w:color="auto" w:sz="4" w:space="0"/>
            </w:tcBorders>
            <w:vAlign w:val="center"/>
          </w:tcPr>
          <w:p>
            <w:pPr>
              <w:widowControl/>
              <w:jc w:val="left"/>
              <w:textAlignment w:val="center"/>
              <w:rPr>
                <w:rFonts w:ascii="宋体" w:hAnsi="宋体" w:cs="宋体"/>
                <w:color w:val="000000"/>
                <w:kern w:val="0"/>
                <w:szCs w:val="22"/>
              </w:rPr>
            </w:pPr>
          </w:p>
        </w:tc>
        <w:tc>
          <w:tcPr>
            <w:tcW w:w="806" w:type="dxa"/>
            <w:tcBorders>
              <w:top w:val="single" w:color="auto" w:sz="4" w:space="0"/>
              <w:left w:val="nil"/>
              <w:bottom w:val="single" w:color="auto" w:sz="4" w:space="0"/>
              <w:right w:val="single" w:color="auto" w:sz="4" w:space="0"/>
            </w:tcBorders>
            <w:vAlign w:val="center"/>
          </w:tcPr>
          <w:p>
            <w:pPr>
              <w:widowControl/>
              <w:jc w:val="center"/>
              <w:textAlignment w:val="center"/>
            </w:pP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pPr>
          </w:p>
        </w:tc>
        <w:tc>
          <w:tcPr>
            <w:tcW w:w="1451"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rPr>
            </w:pPr>
            <w:r>
              <w:rPr>
                <w:rFonts w:hint="eastAsia" w:ascii="宋体" w:hAnsi="宋体"/>
              </w:rPr>
              <w:t>总计</w:t>
            </w:r>
          </w:p>
        </w:tc>
        <w:tc>
          <w:tcPr>
            <w:tcW w:w="1225"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r>
              <w:rPr>
                <w:rFonts w:hint="eastAsia"/>
                <w:lang w:val="en-US" w:eastAsia="zh-CN"/>
              </w:rPr>
              <w:t>896550</w:t>
            </w:r>
          </w:p>
        </w:tc>
        <w:tc>
          <w:tcPr>
            <w:tcW w:w="1193" w:type="dxa"/>
            <w:tcBorders>
              <w:top w:val="single" w:color="auto" w:sz="4" w:space="0"/>
              <w:left w:val="nil"/>
              <w:bottom w:val="single" w:color="auto" w:sz="4" w:space="0"/>
              <w:right w:val="single" w:color="auto" w:sz="12" w:space="0"/>
            </w:tcBorders>
            <w:vAlign w:val="center"/>
          </w:tcPr>
          <w:p>
            <w:pPr>
              <w:jc w:val="center"/>
            </w:pPr>
          </w:p>
        </w:tc>
      </w:tr>
    </w:tbl>
    <w:p>
      <w:pPr>
        <w:tabs>
          <w:tab w:val="left" w:pos="9555"/>
        </w:tabs>
        <w:spacing w:line="360" w:lineRule="auto"/>
        <w:ind w:firstLine="4578" w:firstLineChars="1900"/>
        <w:rPr>
          <w:rFonts w:ascii="宋体" w:hAnsi="宋体"/>
          <w:b/>
          <w:sz w:val="24"/>
        </w:rPr>
      </w:pPr>
    </w:p>
    <w:p>
      <w:pPr>
        <w:ind w:firstLine="5783" w:firstLineChars="2400"/>
        <w:rPr>
          <w:rFonts w:ascii="宋体" w:hAnsi="宋体"/>
          <w:b/>
          <w:sz w:val="24"/>
        </w:rPr>
        <w:sectPr>
          <w:pgSz w:w="16838" w:h="11906" w:orient="landscape"/>
          <w:pgMar w:top="1803" w:right="1440" w:bottom="1803" w:left="1440" w:header="851" w:footer="992" w:gutter="0"/>
          <w:cols w:space="0" w:num="1"/>
          <w:docGrid w:type="lines" w:linePitch="319" w:charSpace="0"/>
        </w:sectPr>
      </w:pPr>
      <w:r>
        <w:rPr>
          <w:rFonts w:hint="eastAsia" w:ascii="宋体" w:hAnsi="宋体"/>
          <w:b/>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CC8747"/>
    <w:multiLevelType w:val="singleLevel"/>
    <w:tmpl w:val="EACC8747"/>
    <w:lvl w:ilvl="0" w:tentative="0">
      <w:start w:val="1"/>
      <w:numFmt w:val="chineseCounting"/>
      <w:pStyle w:val="4"/>
      <w:suff w:val="nothing"/>
      <w:lvlText w:val="（%1）"/>
      <w:lvlJc w:val="left"/>
      <w:pPr>
        <w:ind w:left="0" w:firstLine="0"/>
      </w:pPr>
      <w:rPr>
        <w:rFonts w:hint="eastAsia" w:ascii="仿宋" w:hAnsi="仿宋" w:eastAsia="仿宋" w:cs="仿宋"/>
        <w:b/>
        <w:bCs/>
        <w:sz w:val="30"/>
        <w:szCs w:val="30"/>
      </w:rPr>
    </w:lvl>
  </w:abstractNum>
  <w:abstractNum w:abstractNumId="1">
    <w:nsid w:val="25E4497E"/>
    <w:multiLevelType w:val="singleLevel"/>
    <w:tmpl w:val="25E4497E"/>
    <w:lvl w:ilvl="0" w:tentative="0">
      <w:start w:val="1"/>
      <w:numFmt w:val="chineseCounting"/>
      <w:pStyle w:val="3"/>
      <w:suff w:val="nothing"/>
      <w:lvlText w:val="%1、"/>
      <w:lvlJc w:val="left"/>
      <w:pPr>
        <w:ind w:left="0" w:firstLine="0"/>
      </w:pPr>
      <w:rPr>
        <w:rFonts w:hint="eastAsia" w:ascii="黑体" w:hAnsi="黑体" w:eastAsia="黑体" w:cs="黑体"/>
        <w:b/>
        <w:bCs/>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D476D"/>
    <w:rsid w:val="0EA70944"/>
    <w:rsid w:val="19BE3EC3"/>
    <w:rsid w:val="22166B9E"/>
    <w:rsid w:val="32205D93"/>
    <w:rsid w:val="3CBF2473"/>
    <w:rsid w:val="600B673F"/>
    <w:rsid w:val="63D94E7C"/>
    <w:rsid w:val="68AD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tabs>
        <w:tab w:val="left" w:pos="0"/>
      </w:tabs>
      <w:spacing w:before="50" w:beforeLines="50" w:after="50" w:afterLines="50" w:line="312" w:lineRule="auto"/>
      <w:ind w:firstLineChars="0"/>
      <w:outlineLvl w:val="0"/>
    </w:pPr>
    <w:rPr>
      <w:rFonts w:ascii="黑体" w:hAnsi="黑体" w:eastAsia="黑体" w:cs="Times New Roman"/>
      <w:b/>
      <w:kern w:val="44"/>
      <w:sz w:val="32"/>
    </w:rPr>
  </w:style>
  <w:style w:type="paragraph" w:styleId="4">
    <w:name w:val="heading 2"/>
    <w:basedOn w:val="1"/>
    <w:next w:val="1"/>
    <w:semiHidden/>
    <w:unhideWhenUsed/>
    <w:qFormat/>
    <w:uiPriority w:val="0"/>
    <w:pPr>
      <w:keepNext/>
      <w:keepLines/>
      <w:numPr>
        <w:ilvl w:val="0"/>
        <w:numId w:val="2"/>
      </w:numPr>
      <w:tabs>
        <w:tab w:val="left" w:pos="0"/>
      </w:tabs>
      <w:spacing w:before="50" w:beforeLines="50" w:line="312" w:lineRule="auto"/>
      <w:outlineLvl w:val="1"/>
    </w:pPr>
    <w:rPr>
      <w:rFonts w:ascii="仿宋" w:hAnsi="仿宋" w:eastAsia="仿宋" w:cs="Times New Roman"/>
      <w:b/>
      <w:sz w:val="32"/>
    </w:rPr>
  </w:style>
  <w:style w:type="paragraph" w:styleId="5">
    <w:name w:val="heading 3"/>
    <w:basedOn w:val="1"/>
    <w:next w:val="1"/>
    <w:semiHidden/>
    <w:unhideWhenUsed/>
    <w:qFormat/>
    <w:uiPriority w:val="0"/>
    <w:pPr>
      <w:keepNext/>
      <w:keepLines/>
      <w:spacing w:beforeLines="0" w:beforeAutospacing="0" w:afterLines="0" w:afterAutospacing="0" w:line="312" w:lineRule="auto"/>
      <w:outlineLvl w:val="2"/>
    </w:pPr>
    <w:rPr>
      <w:rFonts w:ascii="仿宋" w:hAnsi="仿宋" w:eastAsia="仿宋" w:cs="Times New Roman"/>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6">
    <w:name w:val="Body Text First Indent"/>
    <w:basedOn w:val="2"/>
    <w:qFormat/>
    <w:uiPriority w:val="0"/>
    <w:pPr>
      <w:widowControl w:val="0"/>
      <w:spacing w:after="120" w:line="400" w:lineRule="atLeast"/>
      <w:ind w:firstLine="426"/>
      <w:jc w:val="both"/>
    </w:pPr>
    <w:rPr>
      <w:rFonts w:ascii="Calibri" w:hAnsi="Calibri" w:eastAsia="宋体" w:cs="Times New Roman"/>
      <w:kern w:val="2"/>
      <w:sz w:val="24"/>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2021-01-05T03:07:00Z</dcterms:created>
  <dc:creator>linqq</dc:creator>
  <cp:lastModifiedBy>linqq</cp:lastModifiedBy>
  <dcterms:modified xsi:type="dcterms:W3CDTF">2021-01-05T03:13:25Z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