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ind w:leftChars="0"/>
        <w:jc w:val="center"/>
        <w:rPr>
          <w:rFonts w:hint="eastAsia"/>
        </w:rPr>
      </w:pPr>
      <w:r>
        <w:rPr>
          <w:rFonts w:hint="eastAsia"/>
        </w:rPr>
        <w:t>税收实务实训教学软件采购项目</w:t>
      </w:r>
    </w:p>
    <w:p>
      <w:pPr>
        <w:spacing w:line="400" w:lineRule="exact"/>
        <w:rPr>
          <w:rFonts w:hint="eastAsia" w:ascii="宋体" w:hAnsi="宋体"/>
          <w:b/>
          <w:sz w:val="24"/>
        </w:rPr>
      </w:pPr>
      <w:r>
        <w:rPr>
          <w:rFonts w:hint="eastAsia" w:ascii="宋体" w:hAnsi="宋体"/>
          <w:b/>
          <w:sz w:val="24"/>
        </w:rPr>
        <w:t>一、项目概况</w:t>
      </w:r>
    </w:p>
    <w:p>
      <w:pPr>
        <w:spacing w:line="400" w:lineRule="exact"/>
        <w:ind w:firstLine="480" w:firstLineChars="200"/>
        <w:rPr>
          <w:rFonts w:hint="eastAsia" w:ascii="宋体" w:hAnsi="宋体"/>
          <w:color w:val="FF0000"/>
          <w:sz w:val="24"/>
        </w:rPr>
      </w:pPr>
      <w:r>
        <w:rPr>
          <w:rFonts w:hint="eastAsia" w:ascii="宋体" w:hAnsi="宋体"/>
          <w:sz w:val="24"/>
        </w:rPr>
        <w:t>学院从专项经费划拨26万元用于工商管理系会计专业税收实务实训教学软件采购项目经费。</w:t>
      </w:r>
    </w:p>
    <w:p>
      <w:pPr>
        <w:spacing w:line="400" w:lineRule="exact"/>
        <w:rPr>
          <w:rFonts w:hint="eastAsia" w:ascii="宋体" w:hAnsi="宋体"/>
          <w:b/>
          <w:sz w:val="24"/>
        </w:rPr>
      </w:pPr>
      <w:r>
        <w:rPr>
          <w:rFonts w:hint="eastAsia" w:ascii="宋体" w:hAnsi="宋体"/>
          <w:b/>
          <w:sz w:val="24"/>
        </w:rPr>
        <w:t>二、实训设备采购的必要性</w:t>
      </w:r>
    </w:p>
    <w:p>
      <w:pPr>
        <w:spacing w:line="400" w:lineRule="exact"/>
        <w:ind w:firstLine="480" w:firstLineChars="200"/>
        <w:rPr>
          <w:rFonts w:hint="eastAsia" w:ascii="宋体" w:hAnsi="宋体"/>
          <w:sz w:val="24"/>
        </w:rPr>
      </w:pPr>
      <w:r>
        <w:rPr>
          <w:rFonts w:hint="eastAsia" w:ascii="宋体" w:hAnsi="宋体"/>
          <w:sz w:val="24"/>
        </w:rPr>
        <w:t>工商管理系目前缺乏会计专业税务课程实训及税务竞赛训练所需软件设备。“福思特杯”福建省大学生会计税务技能创新大赛是一项年度赛事活动，由技术方借用一部分勉强技持实训及竞赛训练，为保障我校学生的正常实训及参加相关竞赛项目，进行针对性专业技能强化操作,实现赛训一体化，迫切需要引进税收实务实训教学软件。</w:t>
      </w:r>
    </w:p>
    <w:p>
      <w:pPr>
        <w:spacing w:line="400" w:lineRule="exact"/>
        <w:ind w:firstLine="480" w:firstLineChars="200"/>
        <w:rPr>
          <w:rFonts w:ascii="宋体" w:hAnsi="宋体"/>
          <w:sz w:val="24"/>
        </w:rPr>
      </w:pPr>
      <w:r>
        <w:rPr>
          <w:rFonts w:hint="eastAsia" w:ascii="宋体" w:hAnsi="宋体"/>
          <w:sz w:val="24"/>
        </w:rPr>
        <w:t>税收实务实训教学软件既可以可作为赛前强化训练，为学校进入省级比赛建立一个良好的学习环境，让学生尽快熟悉比赛模式，并且在比赛中取得优异的成绩。亦可作为平时的税务综合操作技能训练，加强学生的税务实操水平。</w:t>
      </w:r>
    </w:p>
    <w:p>
      <w:pPr>
        <w:spacing w:line="400" w:lineRule="exact"/>
        <w:rPr>
          <w:rFonts w:hint="eastAsia" w:ascii="宋体" w:hAnsi="宋体"/>
          <w:b/>
          <w:sz w:val="24"/>
        </w:rPr>
      </w:pPr>
      <w:r>
        <w:rPr>
          <w:rFonts w:hint="eastAsia" w:ascii="宋体" w:hAnsi="宋体"/>
          <w:b/>
          <w:sz w:val="24"/>
        </w:rPr>
        <w:t>三、罗列新设备对应课程及实训项目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188"/>
        <w:gridCol w:w="1486"/>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8" w:type="dxa"/>
            <w:noWrap w:val="0"/>
            <w:vAlign w:val="center"/>
          </w:tcPr>
          <w:p>
            <w:pPr>
              <w:spacing w:line="400" w:lineRule="exact"/>
              <w:jc w:val="center"/>
              <w:rPr>
                <w:rFonts w:hint="eastAsia" w:ascii="宋体" w:hAnsi="宋体"/>
                <w:sz w:val="24"/>
              </w:rPr>
            </w:pPr>
            <w:r>
              <w:rPr>
                <w:rFonts w:hint="eastAsia" w:ascii="宋体" w:hAnsi="宋体"/>
                <w:sz w:val="24"/>
              </w:rPr>
              <w:t>序号</w:t>
            </w:r>
          </w:p>
        </w:tc>
        <w:tc>
          <w:tcPr>
            <w:tcW w:w="2188" w:type="dxa"/>
            <w:noWrap w:val="0"/>
            <w:vAlign w:val="center"/>
          </w:tcPr>
          <w:p>
            <w:pPr>
              <w:spacing w:line="400" w:lineRule="exact"/>
              <w:ind w:firstLine="480"/>
              <w:jc w:val="center"/>
              <w:rPr>
                <w:rFonts w:hint="eastAsia" w:ascii="宋体" w:hAnsi="宋体"/>
                <w:sz w:val="24"/>
              </w:rPr>
            </w:pPr>
            <w:r>
              <w:rPr>
                <w:rFonts w:hint="eastAsia" w:ascii="宋体" w:hAnsi="宋体"/>
                <w:sz w:val="24"/>
              </w:rPr>
              <w:t>设备名称</w:t>
            </w:r>
          </w:p>
        </w:tc>
        <w:tc>
          <w:tcPr>
            <w:tcW w:w="1486" w:type="dxa"/>
            <w:noWrap w:val="0"/>
            <w:vAlign w:val="center"/>
          </w:tcPr>
          <w:p>
            <w:pPr>
              <w:spacing w:line="400" w:lineRule="exact"/>
              <w:jc w:val="center"/>
              <w:rPr>
                <w:rFonts w:hint="eastAsia" w:ascii="宋体" w:hAnsi="宋体"/>
                <w:sz w:val="24"/>
              </w:rPr>
            </w:pPr>
            <w:r>
              <w:rPr>
                <w:rFonts w:hint="eastAsia" w:ascii="宋体" w:hAnsi="宋体"/>
                <w:sz w:val="24"/>
              </w:rPr>
              <w:t>对应课程</w:t>
            </w:r>
          </w:p>
        </w:tc>
        <w:tc>
          <w:tcPr>
            <w:tcW w:w="4236" w:type="dxa"/>
            <w:noWrap w:val="0"/>
            <w:vAlign w:val="center"/>
          </w:tcPr>
          <w:p>
            <w:pPr>
              <w:spacing w:line="400" w:lineRule="exact"/>
              <w:jc w:val="center"/>
              <w:rPr>
                <w:rFonts w:hint="eastAsia" w:ascii="宋体" w:hAnsi="宋体"/>
                <w:sz w:val="24"/>
              </w:rPr>
            </w:pPr>
            <w:r>
              <w:rPr>
                <w:rFonts w:hint="eastAsia" w:ascii="宋体" w:hAnsi="宋体"/>
                <w:sz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748" w:type="dxa"/>
            <w:noWrap w:val="0"/>
            <w:vAlign w:val="center"/>
          </w:tcPr>
          <w:p>
            <w:pPr>
              <w:widowControl/>
              <w:jc w:val="center"/>
              <w:rPr>
                <w:rFonts w:hint="eastAsia" w:ascii="宋体" w:hAnsi="宋体"/>
                <w:sz w:val="24"/>
              </w:rPr>
            </w:pPr>
            <w:r>
              <w:rPr>
                <w:rFonts w:hint="eastAsia" w:ascii="宋体" w:hAnsi="宋体"/>
                <w:sz w:val="24"/>
              </w:rPr>
              <w:t>1</w:t>
            </w:r>
          </w:p>
        </w:tc>
        <w:tc>
          <w:tcPr>
            <w:tcW w:w="2188" w:type="dxa"/>
            <w:noWrap w:val="0"/>
            <w:vAlign w:val="center"/>
          </w:tcPr>
          <w:p>
            <w:pPr>
              <w:autoSpaceDN w:val="0"/>
              <w:jc w:val="center"/>
              <w:textAlignment w:val="center"/>
              <w:rPr>
                <w:rFonts w:hint="eastAsia" w:ascii="宋体" w:hAnsi="宋体"/>
                <w:sz w:val="24"/>
              </w:rPr>
            </w:pPr>
            <w:r>
              <w:rPr>
                <w:rFonts w:hint="eastAsia" w:ascii="宋体" w:hAnsi="宋体"/>
                <w:sz w:val="24"/>
              </w:rPr>
              <w:t>税收实务实训教学软件</w:t>
            </w:r>
          </w:p>
        </w:tc>
        <w:tc>
          <w:tcPr>
            <w:tcW w:w="1486" w:type="dxa"/>
            <w:noWrap w:val="0"/>
            <w:vAlign w:val="center"/>
          </w:tcPr>
          <w:p>
            <w:pPr>
              <w:spacing w:line="400" w:lineRule="exact"/>
              <w:jc w:val="center"/>
              <w:rPr>
                <w:rFonts w:hint="eastAsia" w:ascii="宋体" w:hAnsi="宋体"/>
                <w:sz w:val="24"/>
              </w:rPr>
            </w:pPr>
            <w:r>
              <w:rPr>
                <w:rFonts w:hint="eastAsia" w:ascii="宋体" w:hAnsi="宋体"/>
                <w:sz w:val="24"/>
              </w:rPr>
              <w:t>税法与税务会计、纳税筹划等</w:t>
            </w:r>
          </w:p>
        </w:tc>
        <w:tc>
          <w:tcPr>
            <w:tcW w:w="4236" w:type="dxa"/>
            <w:noWrap w:val="0"/>
            <w:vAlign w:val="top"/>
          </w:tcPr>
          <w:p>
            <w:pPr>
              <w:rPr>
                <w:rFonts w:hint="eastAsia" w:ascii="宋体" w:hAnsi="宋体"/>
                <w:sz w:val="24"/>
              </w:rPr>
            </w:pPr>
            <w:r>
              <w:rPr>
                <w:rFonts w:hint="eastAsia" w:ascii="宋体" w:hAnsi="宋体"/>
                <w:sz w:val="24"/>
              </w:rPr>
              <w:t>项目一：税法总论</w:t>
            </w:r>
          </w:p>
          <w:p>
            <w:pPr>
              <w:rPr>
                <w:rFonts w:hint="eastAsia" w:ascii="宋体" w:hAnsi="宋体"/>
                <w:sz w:val="24"/>
              </w:rPr>
            </w:pPr>
            <w:r>
              <w:rPr>
                <w:rFonts w:hint="eastAsia" w:ascii="宋体" w:hAnsi="宋体"/>
                <w:sz w:val="24"/>
              </w:rPr>
              <w:t>项目二：增值税纳税申报</w:t>
            </w:r>
          </w:p>
          <w:p>
            <w:pPr>
              <w:rPr>
                <w:rFonts w:hint="eastAsia" w:ascii="宋体" w:hAnsi="宋体"/>
                <w:sz w:val="24"/>
              </w:rPr>
            </w:pPr>
            <w:r>
              <w:rPr>
                <w:rFonts w:hint="eastAsia" w:ascii="宋体" w:hAnsi="宋体"/>
                <w:sz w:val="24"/>
              </w:rPr>
              <w:t>项目三：消费税纳税申报</w:t>
            </w:r>
          </w:p>
          <w:p>
            <w:pPr>
              <w:rPr>
                <w:rFonts w:hint="eastAsia" w:ascii="宋体" w:hAnsi="宋体"/>
                <w:sz w:val="24"/>
              </w:rPr>
            </w:pPr>
            <w:r>
              <w:rPr>
                <w:rFonts w:hint="eastAsia" w:ascii="宋体" w:hAnsi="宋体"/>
                <w:sz w:val="24"/>
              </w:rPr>
              <w:t>项目四：城市维护建设税、教育费附加与地方教育费附加纳税申报</w:t>
            </w:r>
          </w:p>
          <w:p>
            <w:pPr>
              <w:rPr>
                <w:rFonts w:hint="eastAsia" w:ascii="宋体" w:hAnsi="宋体"/>
                <w:sz w:val="24"/>
              </w:rPr>
            </w:pPr>
            <w:r>
              <w:rPr>
                <w:rFonts w:hint="eastAsia" w:ascii="宋体" w:hAnsi="宋体"/>
                <w:sz w:val="24"/>
              </w:rPr>
              <w:t>项目五：资源税纳税申报</w:t>
            </w:r>
          </w:p>
          <w:p>
            <w:pPr>
              <w:rPr>
                <w:rFonts w:hint="eastAsia" w:ascii="宋体" w:hAnsi="宋体"/>
                <w:sz w:val="24"/>
              </w:rPr>
            </w:pPr>
            <w:r>
              <w:rPr>
                <w:rFonts w:hint="eastAsia" w:ascii="宋体" w:hAnsi="宋体"/>
                <w:sz w:val="24"/>
              </w:rPr>
              <w:t>项目六：土地增值税纳税申报</w:t>
            </w:r>
          </w:p>
          <w:p>
            <w:pPr>
              <w:rPr>
                <w:rFonts w:hint="eastAsia" w:ascii="宋体" w:hAnsi="宋体"/>
                <w:sz w:val="24"/>
              </w:rPr>
            </w:pPr>
            <w:r>
              <w:rPr>
                <w:rFonts w:hint="eastAsia" w:ascii="宋体" w:hAnsi="宋体"/>
                <w:sz w:val="24"/>
              </w:rPr>
              <w:t>项目七：房产税纳税申报</w:t>
            </w:r>
          </w:p>
          <w:p>
            <w:pPr>
              <w:rPr>
                <w:rFonts w:hint="eastAsia" w:ascii="宋体" w:hAnsi="宋体"/>
                <w:sz w:val="24"/>
              </w:rPr>
            </w:pPr>
            <w:r>
              <w:rPr>
                <w:rFonts w:hint="eastAsia" w:ascii="宋体" w:hAnsi="宋体"/>
                <w:sz w:val="24"/>
              </w:rPr>
              <w:t>项目八：城镇土地使用税纳税申报</w:t>
            </w:r>
          </w:p>
          <w:p>
            <w:pPr>
              <w:rPr>
                <w:rFonts w:hint="eastAsia" w:ascii="宋体" w:hAnsi="宋体"/>
                <w:sz w:val="24"/>
              </w:rPr>
            </w:pPr>
            <w:r>
              <w:rPr>
                <w:rFonts w:hint="eastAsia" w:ascii="宋体" w:hAnsi="宋体"/>
                <w:sz w:val="24"/>
              </w:rPr>
              <w:t>项目九：车船税纳税申报</w:t>
            </w:r>
          </w:p>
          <w:p>
            <w:pPr>
              <w:rPr>
                <w:rFonts w:hint="eastAsia" w:ascii="宋体" w:hAnsi="宋体"/>
                <w:sz w:val="24"/>
              </w:rPr>
            </w:pPr>
            <w:r>
              <w:rPr>
                <w:rFonts w:hint="eastAsia" w:ascii="宋体" w:hAnsi="宋体"/>
                <w:sz w:val="24"/>
              </w:rPr>
              <w:t>项目十：印花税纳税申报</w:t>
            </w:r>
          </w:p>
          <w:p>
            <w:pPr>
              <w:rPr>
                <w:rFonts w:hint="eastAsia" w:ascii="宋体" w:hAnsi="宋体"/>
                <w:sz w:val="24"/>
              </w:rPr>
            </w:pPr>
            <w:r>
              <w:rPr>
                <w:rFonts w:hint="eastAsia" w:ascii="宋体" w:hAnsi="宋体"/>
                <w:sz w:val="24"/>
              </w:rPr>
              <w:t>项目十一：企业所得税纳税申报</w:t>
            </w:r>
          </w:p>
          <w:p>
            <w:pPr>
              <w:rPr>
                <w:rFonts w:hint="eastAsia" w:ascii="宋体" w:hAnsi="宋体"/>
                <w:sz w:val="24"/>
              </w:rPr>
            </w:pPr>
            <w:r>
              <w:rPr>
                <w:rFonts w:hint="eastAsia" w:ascii="宋体" w:hAnsi="宋体"/>
                <w:sz w:val="24"/>
              </w:rPr>
              <w:t>项目十二：个人所得税纳税申报</w:t>
            </w:r>
          </w:p>
          <w:p>
            <w:pPr>
              <w:rPr>
                <w:rFonts w:hint="eastAsia" w:ascii="宋体" w:hAnsi="宋体"/>
                <w:sz w:val="24"/>
              </w:rPr>
            </w:pPr>
          </w:p>
        </w:tc>
      </w:tr>
    </w:tbl>
    <w:p>
      <w:pPr>
        <w:spacing w:line="400" w:lineRule="exact"/>
        <w:rPr>
          <w:rFonts w:hint="eastAsia" w:ascii="宋体" w:hAnsi="宋体"/>
          <w:color w:val="FF0000"/>
          <w:sz w:val="24"/>
        </w:rPr>
      </w:pPr>
    </w:p>
    <w:p>
      <w:pPr>
        <w:spacing w:line="360" w:lineRule="auto"/>
        <w:ind w:firstLine="4936" w:firstLineChars="2057"/>
        <w:rPr>
          <w:rFonts w:hint="eastAsia" w:ascii="宋体" w:hAnsi="宋体"/>
          <w:sz w:val="24"/>
        </w:rPr>
      </w:pPr>
    </w:p>
    <w:p>
      <w:pPr>
        <w:spacing w:line="360" w:lineRule="auto"/>
        <w:ind w:firstLine="4936" w:firstLineChars="2057"/>
        <w:rPr>
          <w:rFonts w:hint="eastAsia" w:ascii="宋体" w:hAnsi="宋体"/>
          <w:sz w:val="24"/>
        </w:rPr>
      </w:pPr>
    </w:p>
    <w:p>
      <w:pPr>
        <w:pStyle w:val="2"/>
        <w:rPr>
          <w:rFonts w:hint="eastAsia" w:ascii="宋体" w:hAnsi="宋体"/>
          <w:sz w:val="24"/>
        </w:rPr>
      </w:pPr>
    </w:p>
    <w:p>
      <w:pPr>
        <w:pStyle w:val="2"/>
        <w:rPr>
          <w:rFonts w:hint="eastAsia" w:ascii="宋体" w:hAnsi="宋体"/>
          <w:sz w:val="24"/>
        </w:rPr>
      </w:pPr>
      <w:bookmarkStart w:id="0" w:name="_GoBack"/>
      <w:bookmarkEnd w:id="0"/>
    </w:p>
    <w:p>
      <w:pPr>
        <w:rPr>
          <w:rFonts w:hint="eastAsia" w:ascii="宋体" w:hAnsi="宋体"/>
          <w:szCs w:val="21"/>
        </w:rPr>
      </w:pPr>
    </w:p>
    <w:p>
      <w:pPr>
        <w:spacing w:line="360" w:lineRule="auto"/>
        <w:jc w:val="center"/>
        <w:rPr>
          <w:rFonts w:hint="eastAsia"/>
          <w:b/>
          <w:color w:val="FF0000"/>
          <w:sz w:val="24"/>
        </w:rPr>
      </w:pPr>
      <w:r>
        <w:rPr>
          <w:rFonts w:hint="eastAsia" w:ascii="宋体" w:hAnsi="宋体"/>
          <w:b/>
          <w:sz w:val="24"/>
        </w:rPr>
        <w:t>税收实务实训教学软件采购项目购置清单预算</w:t>
      </w:r>
    </w:p>
    <w:tbl>
      <w:tblPr>
        <w:tblStyle w:val="7"/>
        <w:tblW w:w="4997" w:type="pct"/>
        <w:jc w:val="center"/>
        <w:tblLayout w:type="autofit"/>
        <w:tblCellMar>
          <w:top w:w="0" w:type="dxa"/>
          <w:left w:w="108" w:type="dxa"/>
          <w:bottom w:w="0" w:type="dxa"/>
          <w:right w:w="108" w:type="dxa"/>
        </w:tblCellMar>
      </w:tblPr>
      <w:tblGrid>
        <w:gridCol w:w="583"/>
        <w:gridCol w:w="1108"/>
        <w:gridCol w:w="2974"/>
        <w:gridCol w:w="614"/>
        <w:gridCol w:w="943"/>
        <w:gridCol w:w="702"/>
        <w:gridCol w:w="920"/>
        <w:gridCol w:w="673"/>
      </w:tblGrid>
      <w:tr>
        <w:tblPrEx>
          <w:tblCellMar>
            <w:top w:w="0" w:type="dxa"/>
            <w:left w:w="108" w:type="dxa"/>
            <w:bottom w:w="0" w:type="dxa"/>
            <w:right w:w="108" w:type="dxa"/>
          </w:tblCellMar>
        </w:tblPrEx>
        <w:trPr>
          <w:trHeight w:val="737" w:hRule="atLeast"/>
          <w:jc w:val="center"/>
        </w:trPr>
        <w:tc>
          <w:tcPr>
            <w:tcW w:w="342" w:type="pct"/>
            <w:tcBorders>
              <w:top w:val="single" w:color="auto" w:sz="12" w:space="0"/>
              <w:left w:val="single" w:color="auto" w:sz="12" w:space="0"/>
              <w:bottom w:val="single" w:color="auto" w:sz="4" w:space="0"/>
              <w:right w:val="single" w:color="auto" w:sz="4" w:space="0"/>
            </w:tcBorders>
            <w:shd w:val="clear" w:color="auto" w:fill="E0E0E0"/>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50" w:type="pct"/>
            <w:tcBorders>
              <w:top w:val="single" w:color="auto" w:sz="12" w:space="0"/>
              <w:left w:val="nil"/>
              <w:bottom w:val="single" w:color="auto" w:sz="4" w:space="0"/>
              <w:right w:val="single" w:color="000000" w:sz="4" w:space="0"/>
            </w:tcBorders>
            <w:shd w:val="clear" w:color="auto" w:fill="E0E0E0"/>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设备名称</w:t>
            </w:r>
          </w:p>
        </w:tc>
        <w:tc>
          <w:tcPr>
            <w:tcW w:w="1745" w:type="pct"/>
            <w:tcBorders>
              <w:top w:val="single" w:color="auto" w:sz="12" w:space="0"/>
              <w:left w:val="nil"/>
              <w:bottom w:val="single" w:color="auto" w:sz="4" w:space="0"/>
              <w:right w:val="single" w:color="auto" w:sz="4" w:space="0"/>
            </w:tcBorders>
            <w:shd w:val="clear" w:color="auto" w:fill="E0E0E0"/>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规格、型号</w:t>
            </w:r>
            <w:r>
              <w:rPr>
                <w:rFonts w:hint="eastAsia" w:ascii="仿宋" w:hAnsi="仿宋" w:eastAsia="仿宋" w:cs="仿宋"/>
                <w:bCs/>
                <w:color w:val="000000"/>
                <w:kern w:val="0"/>
                <w:szCs w:val="21"/>
              </w:rPr>
              <w:t>（主要技术参数）</w:t>
            </w:r>
          </w:p>
        </w:tc>
        <w:tc>
          <w:tcPr>
            <w:tcW w:w="360" w:type="pct"/>
            <w:tcBorders>
              <w:top w:val="single" w:color="auto" w:sz="12" w:space="0"/>
              <w:left w:val="nil"/>
              <w:bottom w:val="single" w:color="auto" w:sz="4" w:space="0"/>
              <w:right w:val="single" w:color="auto" w:sz="4" w:space="0"/>
            </w:tcBorders>
            <w:shd w:val="clear" w:color="auto" w:fill="E0E0E0"/>
            <w:noWrap w:val="0"/>
            <w:vAlign w:val="center"/>
          </w:tcPr>
          <w:p>
            <w:pPr>
              <w:jc w:val="center"/>
              <w:rPr>
                <w:rFonts w:hint="eastAsia" w:ascii="仿宋" w:hAnsi="仿宋" w:eastAsia="仿宋" w:cs="仿宋"/>
                <w:bCs/>
                <w:color w:val="000000"/>
                <w:kern w:val="0"/>
                <w:szCs w:val="21"/>
              </w:rPr>
            </w:pPr>
            <w:r>
              <w:rPr>
                <w:rFonts w:hint="eastAsia" w:ascii="仿宋" w:hAnsi="仿宋" w:eastAsia="仿宋" w:cs="仿宋"/>
                <w:bCs/>
                <w:color w:val="000000"/>
                <w:kern w:val="0"/>
                <w:szCs w:val="21"/>
              </w:rPr>
              <w:t>数量</w:t>
            </w:r>
          </w:p>
        </w:tc>
        <w:tc>
          <w:tcPr>
            <w:tcW w:w="553"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ascii="仿宋" w:hAnsi="仿宋" w:eastAsia="仿宋" w:cs="仿宋"/>
                <w:caps/>
                <w:szCs w:val="21"/>
              </w:rPr>
            </w:pPr>
            <w:r>
              <w:rPr>
                <w:rFonts w:hint="eastAsia" w:ascii="仿宋" w:hAnsi="仿宋" w:eastAsia="仿宋" w:cs="仿宋"/>
                <w:caps/>
                <w:szCs w:val="21"/>
              </w:rPr>
              <w:t>单价</w:t>
            </w:r>
          </w:p>
          <w:p>
            <w:pPr>
              <w:tabs>
                <w:tab w:val="left" w:pos="6840"/>
              </w:tabs>
              <w:jc w:val="center"/>
              <w:rPr>
                <w:rFonts w:hint="eastAsia" w:ascii="仿宋" w:hAnsi="仿宋" w:eastAsia="仿宋" w:cs="仿宋"/>
                <w:caps/>
                <w:szCs w:val="21"/>
              </w:rPr>
            </w:pPr>
            <w:r>
              <w:rPr>
                <w:rFonts w:hint="eastAsia" w:ascii="仿宋" w:hAnsi="仿宋" w:eastAsia="仿宋" w:cs="仿宋"/>
                <w:caps/>
                <w:szCs w:val="21"/>
              </w:rPr>
              <w:t>（元）</w:t>
            </w:r>
          </w:p>
        </w:tc>
        <w:tc>
          <w:tcPr>
            <w:tcW w:w="412"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ascii="仿宋" w:hAnsi="仿宋" w:eastAsia="仿宋" w:cs="仿宋"/>
                <w:caps/>
                <w:szCs w:val="21"/>
              </w:rPr>
            </w:pPr>
            <w:r>
              <w:rPr>
                <w:rFonts w:hint="eastAsia" w:ascii="仿宋" w:hAnsi="仿宋" w:eastAsia="仿宋" w:cs="仿宋"/>
                <w:caps/>
                <w:szCs w:val="21"/>
              </w:rPr>
              <w:t>单价来源</w:t>
            </w:r>
          </w:p>
        </w:tc>
        <w:tc>
          <w:tcPr>
            <w:tcW w:w="540"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ascii="仿宋" w:hAnsi="仿宋" w:eastAsia="仿宋" w:cs="仿宋"/>
                <w:caps/>
                <w:szCs w:val="21"/>
              </w:rPr>
            </w:pPr>
            <w:r>
              <w:rPr>
                <w:rFonts w:hint="eastAsia" w:ascii="仿宋" w:hAnsi="仿宋" w:eastAsia="仿宋" w:cs="仿宋"/>
                <w:caps/>
                <w:szCs w:val="21"/>
              </w:rPr>
              <w:t>金额</w:t>
            </w:r>
          </w:p>
          <w:p>
            <w:pPr>
              <w:tabs>
                <w:tab w:val="left" w:pos="6840"/>
              </w:tabs>
              <w:jc w:val="center"/>
              <w:rPr>
                <w:rFonts w:hint="eastAsia" w:ascii="仿宋" w:hAnsi="仿宋" w:eastAsia="仿宋" w:cs="仿宋"/>
                <w:caps/>
                <w:szCs w:val="21"/>
              </w:rPr>
            </w:pPr>
            <w:r>
              <w:rPr>
                <w:rFonts w:hint="eastAsia" w:ascii="仿宋" w:hAnsi="仿宋" w:eastAsia="仿宋" w:cs="仿宋"/>
                <w:caps/>
                <w:szCs w:val="21"/>
              </w:rPr>
              <w:t>（元）</w:t>
            </w:r>
          </w:p>
        </w:tc>
        <w:tc>
          <w:tcPr>
            <w:tcW w:w="395" w:type="pct"/>
            <w:tcBorders>
              <w:top w:val="single" w:color="auto" w:sz="12" w:space="0"/>
              <w:left w:val="nil"/>
              <w:bottom w:val="single" w:color="auto" w:sz="4" w:space="0"/>
              <w:right w:val="single" w:color="auto" w:sz="12" w:space="0"/>
            </w:tcBorders>
            <w:shd w:val="clear" w:color="auto" w:fill="E0E0E0"/>
            <w:noWrap w:val="0"/>
            <w:vAlign w:val="center"/>
          </w:tcPr>
          <w:p>
            <w:pPr>
              <w:tabs>
                <w:tab w:val="left" w:pos="6840"/>
              </w:tabs>
              <w:jc w:val="center"/>
              <w:rPr>
                <w:rFonts w:hint="eastAsia" w:ascii="仿宋" w:hAnsi="仿宋" w:eastAsia="仿宋" w:cs="仿宋"/>
                <w:caps/>
                <w:szCs w:val="21"/>
              </w:rPr>
            </w:pPr>
            <w:r>
              <w:rPr>
                <w:rFonts w:hint="eastAsia" w:ascii="仿宋" w:hAnsi="仿宋" w:eastAsia="仿宋" w:cs="仿宋"/>
                <w:caps/>
                <w:szCs w:val="21"/>
              </w:rPr>
              <w:t>备注</w:t>
            </w:r>
          </w:p>
        </w:tc>
      </w:tr>
      <w:tr>
        <w:tblPrEx>
          <w:tblCellMar>
            <w:top w:w="0" w:type="dxa"/>
            <w:left w:w="108" w:type="dxa"/>
            <w:bottom w:w="0" w:type="dxa"/>
            <w:right w:w="108" w:type="dxa"/>
          </w:tblCellMar>
        </w:tblPrEx>
        <w:trPr>
          <w:trHeight w:val="737" w:hRule="atLeast"/>
          <w:jc w:val="center"/>
        </w:trPr>
        <w:tc>
          <w:tcPr>
            <w:tcW w:w="342"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w:t>
            </w:r>
          </w:p>
        </w:tc>
        <w:tc>
          <w:tcPr>
            <w:tcW w:w="650"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仿宋" w:hAnsi="仿宋" w:eastAsia="仿宋" w:cs="仿宋"/>
                <w:szCs w:val="21"/>
              </w:rPr>
            </w:pPr>
            <w:r>
              <w:rPr>
                <w:rFonts w:hint="eastAsia" w:ascii="仿宋" w:hAnsi="仿宋" w:eastAsia="仿宋" w:cs="仿宋"/>
                <w:spacing w:val="8"/>
                <w:kern w:val="0"/>
                <w:szCs w:val="21"/>
              </w:rPr>
              <w:t>税收实务实训教学软件</w:t>
            </w:r>
          </w:p>
        </w:tc>
        <w:tc>
          <w:tcPr>
            <w:tcW w:w="1745"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1.课程学习功能：根据国家税收最新法规，提供了十六章节的课件课程学习内容，以供学生即时查阅，并配备相应的课堂练习。</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2.引导学习功能：为理论知识掌握得不熟练的学生设置，在该层面系统提供强制引导学习功能，并给出相应的在线帮助，同时提供对应的理论帮助。</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3.自我测试功能：针对学习较好的学生或是需要加固知识的学生，在该层面系统不再提供详细的在线帮助，而是在退出系统时提供完整的答案。</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4.自我考试功能：主要是用于学生自我考核，不再提供任何答案，便于学生自我检测对知识的掌握程度。</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5.★业务仿真度高：根据最新税法政策全方位呈现企业资料，包括营业执照、发票、最新申报表等一系列完整的纳税周期资料，将实际企业发生的业务提供给学生，让学生在高仿真的环境中完成实训。</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6.★软件实训部分按行业、企业、税种的表现形式将案例进行细分。至少包括六大行业（如：制造业、交通运输业、采矿业、服务业等）、三十多家企业、十二个税种（如：增值税、企业所得税、消费税等）的案例。使实训内容丰富有序，利于学生全面学习。</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7.★软件竞赛和考试功能：竞赛或者考试过程中，系统会根据考生的作答情况进行自动评分，同时做出友好的提示，包括显示作答时间、试题完成情况的标注、作答时间剩余五分钟提示等。</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8.计时功能：可设置自动计时或者人工计时，自动计时模式下，竞赛或者考试开始后，系统进入倒计时，考试结束前五分钟进行友好提示，异常退出时不影响考生考试时间，考试结束会自动保存操作结果并交卷。</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9.自动保存功能：竞赛过程中跳转申报表时能够自动保存考生的操作结果，考试结束后系统自动备份考生操作结果，并且加密保存。</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10.★案例管理：提供各类申报表套表，包括增值税（一般纳税人、小规模纳税人）、企业所得税（年度、月度、季度）、消费税（烟类、酒类、成品油、小汽车、电池、涂料、其他应税消费品）、土地增值税（房地产开发纳税人、非房地产开发纳税人）、房产税、城镇土地使用税、个人所得税、资源税、车船税、印花税、契税、耕地占用税、烟叶税、车辆购置税、附加税费以及新增的环保税，方便用户设置试题。</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11.填表说明功能：为各类申报表的填写提供提示，便于学生作答。</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12.资料查看提供查看模式选择，可以根据需要选择选项卡模式或者弹窗模式。</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13.自动出题功能：可以根据试题库中的试题采用自动抽选试题的方式安排考试。</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14.教务管理与控制功能：老师通过系统提供的教务管理平台，既能够对实习学生、实习内容和实习成果进行全方位的监控、评价和反馈并实现无纸化教学、实验和考核，也能够按模块，按层面对教学进程进行控制，比如可控制相关教学模块是否开放给学生进行实训，可指定学生在哪一个层面进行实习。</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15.良好的拓展功能：教师可以把教学课件资源扩展到实验教学平台，教师可以自由添加、修改和删除试题，可以对课程学习进行添加、修改和删除。</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16.★重置成绩功能：竞赛模式下，考生可以重置成绩，教师可以在后台查看学生重置成绩记录。</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17.导入导出企业税种数据功能：可自主通过导入或导出企业税种案例数据，完善企业税种案例的多样性。</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18.教学互动功能：系统配置了师生互动平台，在该平台上，教师和学生能够及时进行沟通，通过教师的解疑答惑，增强了教学的互动性和参与性，活跃了课堂氛围，有利于教学相长。</w:t>
            </w:r>
          </w:p>
          <w:p>
            <w:pPr>
              <w:widowControl/>
              <w:adjustRightInd w:val="0"/>
              <w:snapToGrid w:val="0"/>
              <w:jc w:val="left"/>
              <w:rPr>
                <w:rFonts w:hint="eastAsia" w:ascii="仿宋" w:hAnsi="仿宋" w:eastAsia="仿宋" w:cs="仿宋"/>
                <w:szCs w:val="21"/>
              </w:rPr>
            </w:pPr>
            <w:r>
              <w:rPr>
                <w:rFonts w:hint="eastAsia" w:ascii="仿宋" w:hAnsi="仿宋" w:eastAsia="仿宋" w:cs="仿宋"/>
                <w:szCs w:val="21"/>
              </w:rPr>
              <w:t>19.软件提供精品课程设置和展示功能，精品课程集成在金通平台上，精品课程分为教师端和学生端，具有直接上传PPT、PPTX文件功能，提供上传无限制格式文件的功能，提供多种视频上传模式等功能。20.为保证软件能够满足学校的教学需求，投标人需对软件★号功能进行现场演示，如演示有一条★号参数不满足，则投标无效。</w:t>
            </w:r>
          </w:p>
        </w:tc>
        <w:tc>
          <w:tcPr>
            <w:tcW w:w="36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1套</w:t>
            </w:r>
          </w:p>
        </w:tc>
        <w:tc>
          <w:tcPr>
            <w:tcW w:w="55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260000</w:t>
            </w:r>
          </w:p>
        </w:tc>
        <w:tc>
          <w:tcPr>
            <w:tcW w:w="4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厂家询价</w:t>
            </w:r>
          </w:p>
        </w:tc>
        <w:tc>
          <w:tcPr>
            <w:tcW w:w="540"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260000</w:t>
            </w:r>
          </w:p>
        </w:tc>
        <w:tc>
          <w:tcPr>
            <w:tcW w:w="395"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ascii="仿宋" w:hAnsi="仿宋" w:eastAsia="仿宋" w:cs="仿宋"/>
                <w:color w:val="FF0000"/>
                <w:szCs w:val="21"/>
              </w:rPr>
            </w:pPr>
          </w:p>
        </w:tc>
      </w:tr>
      <w:tr>
        <w:tblPrEx>
          <w:tblCellMar>
            <w:top w:w="0" w:type="dxa"/>
            <w:left w:w="108" w:type="dxa"/>
            <w:bottom w:w="0" w:type="dxa"/>
            <w:right w:w="108" w:type="dxa"/>
          </w:tblCellMar>
        </w:tblPrEx>
        <w:trPr>
          <w:trHeight w:val="737" w:hRule="atLeast"/>
          <w:jc w:val="center"/>
        </w:trPr>
        <w:tc>
          <w:tcPr>
            <w:tcW w:w="342"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hint="eastAsia" w:ascii="仿宋" w:hAnsi="仿宋" w:eastAsia="仿宋" w:cs="仿宋"/>
                <w:kern w:val="0"/>
                <w:szCs w:val="21"/>
              </w:rPr>
            </w:pPr>
          </w:p>
        </w:tc>
        <w:tc>
          <w:tcPr>
            <w:tcW w:w="650" w:type="pct"/>
            <w:tcBorders>
              <w:top w:val="single" w:color="auto" w:sz="4" w:space="0"/>
              <w:left w:val="nil"/>
              <w:bottom w:val="single" w:color="auto" w:sz="12" w:space="0"/>
              <w:right w:val="single" w:color="000000" w:sz="4" w:space="0"/>
            </w:tcBorders>
            <w:noWrap w:val="0"/>
            <w:vAlign w:val="center"/>
          </w:tcPr>
          <w:p>
            <w:pPr>
              <w:autoSpaceDN w:val="0"/>
              <w:jc w:val="center"/>
              <w:textAlignment w:val="center"/>
              <w:rPr>
                <w:rFonts w:hint="eastAsia" w:ascii="仿宋" w:hAnsi="仿宋" w:eastAsia="仿宋" w:cs="仿宋"/>
                <w:szCs w:val="21"/>
              </w:rPr>
            </w:pPr>
          </w:p>
        </w:tc>
        <w:tc>
          <w:tcPr>
            <w:tcW w:w="1745" w:type="pct"/>
            <w:tcBorders>
              <w:top w:val="single" w:color="auto" w:sz="4" w:space="0"/>
              <w:left w:val="nil"/>
              <w:bottom w:val="single" w:color="auto" w:sz="12" w:space="0"/>
              <w:right w:val="single" w:color="auto" w:sz="4" w:space="0"/>
            </w:tcBorders>
            <w:noWrap w:val="0"/>
            <w:vAlign w:val="center"/>
          </w:tcPr>
          <w:p>
            <w:pPr>
              <w:tabs>
                <w:tab w:val="left" w:pos="6840"/>
              </w:tabs>
              <w:rPr>
                <w:rFonts w:hint="eastAsia" w:ascii="仿宋" w:hAnsi="仿宋" w:eastAsia="仿宋" w:cs="仿宋"/>
                <w:szCs w:val="21"/>
              </w:rPr>
            </w:pPr>
          </w:p>
        </w:tc>
        <w:tc>
          <w:tcPr>
            <w:tcW w:w="360"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hint="eastAsia" w:ascii="仿宋" w:hAnsi="仿宋" w:eastAsia="仿宋" w:cs="仿宋"/>
                <w:szCs w:val="21"/>
              </w:rPr>
            </w:pPr>
          </w:p>
        </w:tc>
        <w:tc>
          <w:tcPr>
            <w:tcW w:w="553"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hint="eastAsia" w:ascii="仿宋" w:hAnsi="仿宋" w:eastAsia="仿宋" w:cs="仿宋"/>
                <w:szCs w:val="21"/>
              </w:rPr>
            </w:pPr>
          </w:p>
        </w:tc>
        <w:tc>
          <w:tcPr>
            <w:tcW w:w="412" w:type="pct"/>
            <w:tcBorders>
              <w:top w:val="single" w:color="auto" w:sz="4" w:space="0"/>
              <w:left w:val="nil"/>
              <w:bottom w:val="single" w:color="auto" w:sz="12" w:space="0"/>
              <w:right w:val="single" w:color="auto" w:sz="4" w:space="0"/>
            </w:tcBorders>
            <w:noWrap w:val="0"/>
            <w:vAlign w:val="center"/>
          </w:tcPr>
          <w:p>
            <w:pPr>
              <w:tabs>
                <w:tab w:val="left" w:pos="6840"/>
              </w:tabs>
              <w:jc w:val="center"/>
              <w:rPr>
                <w:rFonts w:hint="eastAsia" w:ascii="仿宋" w:hAnsi="仿宋" w:eastAsia="仿宋" w:cs="仿宋"/>
                <w:szCs w:val="21"/>
              </w:rPr>
            </w:pPr>
            <w:r>
              <w:rPr>
                <w:rFonts w:hint="eastAsia" w:ascii="仿宋" w:hAnsi="仿宋" w:eastAsia="仿宋" w:cs="仿宋"/>
                <w:szCs w:val="21"/>
              </w:rPr>
              <w:t>合计</w:t>
            </w:r>
          </w:p>
        </w:tc>
        <w:tc>
          <w:tcPr>
            <w:tcW w:w="540" w:type="pct"/>
            <w:tcBorders>
              <w:top w:val="single" w:color="auto" w:sz="4" w:space="0"/>
              <w:left w:val="nil"/>
              <w:bottom w:val="single" w:color="auto" w:sz="12" w:space="0"/>
              <w:right w:val="single" w:color="auto" w:sz="4" w:space="0"/>
            </w:tcBorders>
            <w:noWrap w:val="0"/>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szCs w:val="21"/>
              </w:rPr>
              <w:t>260000</w:t>
            </w:r>
          </w:p>
        </w:tc>
        <w:tc>
          <w:tcPr>
            <w:tcW w:w="395" w:type="pct"/>
            <w:tcBorders>
              <w:top w:val="single" w:color="auto" w:sz="4" w:space="0"/>
              <w:left w:val="nil"/>
              <w:bottom w:val="single" w:color="auto" w:sz="12" w:space="0"/>
              <w:right w:val="single" w:color="auto" w:sz="12" w:space="0"/>
            </w:tcBorders>
            <w:noWrap w:val="0"/>
            <w:vAlign w:val="center"/>
          </w:tcPr>
          <w:p>
            <w:pPr>
              <w:widowControl/>
              <w:jc w:val="center"/>
              <w:rPr>
                <w:rFonts w:hint="eastAsia" w:ascii="仿宋" w:hAnsi="仿宋" w:eastAsia="仿宋" w:cs="仿宋"/>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5"/>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4"/>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F7C7D"/>
    <w:rsid w:val="0EA70944"/>
    <w:rsid w:val="19BE3EC3"/>
    <w:rsid w:val="20FF7C7D"/>
    <w:rsid w:val="22166B9E"/>
    <w:rsid w:val="32205D93"/>
    <w:rsid w:val="3CBF2473"/>
    <w:rsid w:val="600B673F"/>
    <w:rsid w:val="63D94E7C"/>
    <w:rsid w:val="6BCE6E7A"/>
    <w:rsid w:val="6E3F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5">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6">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sz w:val="24"/>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2020-10-29T07:31:00Z</dcterms:created>
  <dc:creator>linqq</dc:creator>
  <cp:lastModifiedBy>linqq</cp:lastModifiedBy>
  <dcterms:modified xsi:type="dcterms:W3CDTF">2020-10-29T07:56:24Z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