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 xml:space="preserve"> 本招标文件经招标人审核确认，同意发布。</w:t>
      </w:r>
    </w:p>
    <w:p>
      <w:pPr>
        <w:spacing w:line="460" w:lineRule="exact"/>
        <w:jc w:val="righ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p>
    <w:p>
      <w:pPr>
        <w:spacing w:line="360" w:lineRule="auto"/>
        <w:ind w:firstLine="3781" w:firstLineChars="1345"/>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采购人盖章及签字：</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w:t>
      </w:r>
    </w:p>
    <w:p>
      <w:pPr>
        <w:spacing w:line="360" w:lineRule="auto"/>
        <w:ind w:firstLine="3781" w:firstLineChars="1345"/>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日期：</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bCs/>
          <w:color w:val="000000" w:themeColor="text1"/>
          <w:sz w:val="84"/>
          <w14:textFill>
            <w14:solidFill>
              <w14:schemeClr w14:val="tx1"/>
            </w14:solidFill>
          </w14:textFill>
        </w:rPr>
      </w:pPr>
    </w:p>
    <w:p>
      <w:pPr>
        <w:spacing w:line="300" w:lineRule="auto"/>
        <w:jc w:val="center"/>
        <w:rPr>
          <w:rFonts w:hint="eastAsia" w:asciiTheme="minorEastAsia" w:hAnsiTheme="minorEastAsia" w:eastAsiaTheme="minorEastAsia" w:cstheme="minorEastAsia"/>
          <w:b/>
          <w:bCs/>
          <w:color w:val="000000" w:themeColor="text1"/>
          <w:sz w:val="84"/>
          <w14:textFill>
            <w14:solidFill>
              <w14:schemeClr w14:val="tx1"/>
            </w14:solidFill>
          </w14:textFill>
        </w:rPr>
      </w:pPr>
      <w:r>
        <w:rPr>
          <w:rFonts w:hint="eastAsia" w:asciiTheme="minorEastAsia" w:hAnsiTheme="minorEastAsia" w:eastAsiaTheme="minorEastAsia" w:cstheme="minorEastAsia"/>
          <w:b/>
          <w:bCs/>
          <w:color w:val="000000" w:themeColor="text1"/>
          <w:sz w:val="84"/>
          <w14:textFill>
            <w14:solidFill>
              <w14:schemeClr w14:val="tx1"/>
            </w14:solidFill>
          </w14:textFill>
        </w:rPr>
        <w:t>公开招标文件</w:t>
      </w:r>
    </w:p>
    <w:p>
      <w:pPr>
        <w:pStyle w:val="18"/>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p>
    <w:p>
      <w:pPr>
        <w:pStyle w:val="18"/>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p>
    <w:p>
      <w:pPr>
        <w:pStyle w:val="18"/>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p>
    <w:p>
      <w:pPr>
        <w:pStyle w:val="18"/>
        <w:spacing w:line="480" w:lineRule="auto"/>
        <w:jc w:val="cente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t>PTHS2019073</w:t>
      </w:r>
    </w:p>
    <w:p>
      <w:pPr>
        <w:pStyle w:val="18"/>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r>
        <w:rPr>
          <w:rFonts w:hint="eastAsia" w:asciiTheme="minorEastAsia" w:hAnsiTheme="minorEastAsia" w:eastAsiaTheme="minorEastAsia" w:cstheme="minorEastAsia"/>
          <w:b/>
          <w:bCs/>
          <w:color w:val="000000" w:themeColor="text1"/>
          <w:sz w:val="32"/>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t>智能平移门采购项目</w:t>
      </w:r>
    </w:p>
    <w:p>
      <w:pPr>
        <w:pStyle w:val="18"/>
        <w:spacing w:line="300" w:lineRule="auto"/>
        <w:jc w:val="center"/>
        <w:rPr>
          <w:rFonts w:hint="eastAsia" w:asciiTheme="minorEastAsia" w:hAnsiTheme="minorEastAsia" w:eastAsiaTheme="minorEastAsia" w:cstheme="minorEastAsia"/>
          <w:b/>
          <w:color w:val="000000" w:themeColor="text1"/>
          <w:sz w:val="28"/>
          <w14:textFill>
            <w14:solidFill>
              <w14:schemeClr w14:val="tx1"/>
            </w14:solidFill>
          </w14:textFill>
        </w:rPr>
      </w:pPr>
    </w:p>
    <w:p>
      <w:pPr>
        <w:pStyle w:val="18"/>
        <w:spacing w:line="300" w:lineRule="auto"/>
        <w:jc w:val="center"/>
        <w:rPr>
          <w:rFonts w:hint="eastAsia" w:asciiTheme="minorEastAsia" w:hAnsiTheme="minorEastAsia" w:eastAsiaTheme="minorEastAsia" w:cstheme="minorEastAsia"/>
          <w:b/>
          <w:color w:val="000000" w:themeColor="text1"/>
          <w:sz w:val="28"/>
          <w14:textFill>
            <w14:solidFill>
              <w14:schemeClr w14:val="tx1"/>
            </w14:solidFill>
          </w14:textFill>
        </w:rPr>
      </w:pPr>
    </w:p>
    <w:p>
      <w:pPr>
        <w:pStyle w:val="18"/>
        <w:spacing w:line="300" w:lineRule="auto"/>
        <w:jc w:val="center"/>
        <w:rPr>
          <w:rFonts w:hint="eastAsia" w:asciiTheme="minorEastAsia" w:hAnsiTheme="minorEastAsia" w:eastAsiaTheme="minorEastAsia" w:cstheme="minorEastAsia"/>
          <w:b/>
          <w:color w:val="000000" w:themeColor="text1"/>
          <w:sz w:val="28"/>
          <w14:textFill>
            <w14:solidFill>
              <w14:schemeClr w14:val="tx1"/>
            </w14:solidFill>
          </w14:textFill>
        </w:rPr>
      </w:pPr>
    </w:p>
    <w:p>
      <w:pPr>
        <w:pStyle w:val="18"/>
        <w:spacing w:line="480" w:lineRule="auto"/>
        <w:jc w:val="center"/>
        <w:rPr>
          <w:rFonts w:hint="eastAsia"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采购人：湄洲湾职业技术学院（盖章）</w:t>
      </w:r>
    </w:p>
    <w:p>
      <w:pPr>
        <w:pStyle w:val="18"/>
        <w:spacing w:line="480" w:lineRule="auto"/>
        <w:ind w:firstLine="1590" w:firstLineChars="495"/>
        <w:jc w:val="left"/>
        <w:rPr>
          <w:rFonts w:hint="eastAsia" w:asciiTheme="minorEastAsia" w:hAnsiTheme="minorEastAsia" w:eastAsiaTheme="minorEastAsia" w:cstheme="minorEastAsia"/>
          <w:b/>
          <w:color w:val="000000" w:themeColor="text1"/>
          <w:sz w:val="32"/>
          <w14:textFill>
            <w14:solidFill>
              <w14:schemeClr w14:val="tx1"/>
            </w14:solidFill>
          </w14:textFill>
        </w:rPr>
      </w:pPr>
    </w:p>
    <w:p>
      <w:pPr>
        <w:pStyle w:val="18"/>
        <w:spacing w:line="480" w:lineRule="auto"/>
        <w:ind w:firstLine="790" w:firstLineChars="246"/>
        <w:jc w:val="left"/>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招标代理公司：</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 xml:space="preserve">福建莆田恒顺招标代理有限公司 </w:t>
      </w:r>
      <w:r>
        <w:rPr>
          <w:rFonts w:hint="eastAsia" w:asciiTheme="minorEastAsia" w:hAnsiTheme="minorEastAsia" w:eastAsiaTheme="minorEastAsia" w:cstheme="minorEastAsia"/>
          <w:b/>
          <w:color w:val="000000" w:themeColor="text1"/>
          <w:sz w:val="30"/>
          <w:szCs w:val="30"/>
          <w14:textFill>
            <w14:solidFill>
              <w14:schemeClr w14:val="tx1"/>
            </w14:solidFill>
          </w14:textFill>
        </w:rPr>
        <w:t>(盖章)</w:t>
      </w:r>
    </w:p>
    <w:p>
      <w:pPr>
        <w:spacing w:line="480" w:lineRule="auto"/>
        <w:rPr>
          <w:rFonts w:hint="eastAsia"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 xml:space="preserve">                    二○一九年</w:t>
      </w:r>
      <w:r>
        <w:rPr>
          <w:rFonts w:hint="eastAsia" w:asciiTheme="minorEastAsia" w:hAnsiTheme="minorEastAsia" w:eastAsiaTheme="minorEastAsia" w:cstheme="minorEastAsia"/>
          <w:b/>
          <w:color w:val="000000" w:themeColor="text1"/>
          <w:sz w:val="32"/>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32"/>
          <w14:textFill>
            <w14:solidFill>
              <w14:schemeClr w14:val="tx1"/>
            </w14:solidFill>
          </w14:textFill>
        </w:rPr>
        <w:t>月</w:t>
      </w:r>
    </w:p>
    <w:p>
      <w:pPr>
        <w:pStyle w:val="18"/>
        <w:spacing w:line="300" w:lineRule="auto"/>
        <w:ind w:firstLine="4160" w:firstLineChars="1295"/>
        <w:outlineLvl w:val="0"/>
        <w:rPr>
          <w:rFonts w:hint="eastAsia" w:asciiTheme="minorEastAsia" w:hAnsiTheme="minorEastAsia" w:eastAsiaTheme="minorEastAsia" w:cstheme="minorEastAsia"/>
          <w:b/>
          <w:bCs/>
          <w:color w:val="000000" w:themeColor="text1"/>
          <w:sz w:val="32"/>
          <w14:textFill>
            <w14:solidFill>
              <w14:schemeClr w14:val="tx1"/>
            </w14:solidFill>
          </w14:textFill>
        </w:rPr>
      </w:pPr>
      <w:r>
        <w:rPr>
          <w:rFonts w:hint="eastAsia" w:asciiTheme="minorEastAsia" w:hAnsiTheme="minorEastAsia" w:eastAsiaTheme="minorEastAsia" w:cstheme="minorEastAsia"/>
          <w:b/>
          <w:bCs/>
          <w:color w:val="000000" w:themeColor="text1"/>
          <w:sz w:val="32"/>
          <w14:textFill>
            <w14:solidFill>
              <w14:schemeClr w14:val="tx1"/>
            </w14:solidFill>
          </w14:textFill>
        </w:rPr>
        <w:t>目   录</w:t>
      </w:r>
    </w:p>
    <w:p>
      <w:pPr>
        <w:pStyle w:val="4"/>
        <w:snapToGrid w:val="0"/>
        <w:spacing w:line="300" w:lineRule="auto"/>
        <w:ind w:firstLine="0"/>
        <w:rPr>
          <w:rFonts w:hint="eastAsia" w:asciiTheme="minorEastAsia" w:hAnsiTheme="minorEastAsia" w:eastAsiaTheme="minorEastAsia" w:cstheme="minorEastAsia"/>
          <w:color w:val="000000" w:themeColor="text1"/>
          <w:sz w:val="28"/>
          <w14:textFill>
            <w14:solidFill>
              <w14:schemeClr w14:val="tx1"/>
            </w14:solidFill>
          </w14:textFill>
        </w:rPr>
      </w:pP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第一章    招标公告</w:t>
      </w: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一、 投标资格</w:t>
      </w: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二、 招标货物一览表</w:t>
      </w: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第二章    投标人须知</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投标人须知前附表</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 说明</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 招标文件</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 投标文件的编写</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 投标文件的提交</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五、 投标文件的评估和比较</w:t>
      </w:r>
    </w:p>
    <w:p>
      <w:pPr>
        <w:pStyle w:val="4"/>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六、 定标和签订合同</w:t>
      </w: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第三章    招标内容及要求</w:t>
      </w: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第四章    政府采购合同</w:t>
      </w:r>
    </w:p>
    <w:p>
      <w:pPr>
        <w:pStyle w:val="4"/>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第五章    投标文件相关格式</w:t>
      </w:r>
    </w:p>
    <w:p>
      <w:pPr>
        <w:spacing w:line="300" w:lineRule="auto"/>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第一章  招标公告</w:t>
      </w:r>
    </w:p>
    <w:p>
      <w:pPr>
        <w:spacing w:line="4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[福建莆田恒顺招标代理有限公司]受[湄洲湾职业技术学院]的委托，对</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智能平移门采购项目</w:t>
      </w:r>
      <w:r>
        <w:rPr>
          <w:rFonts w:hint="eastAsia" w:asciiTheme="minorEastAsia" w:hAnsiTheme="minorEastAsia" w:eastAsiaTheme="minorEastAsia" w:cstheme="minorEastAsia"/>
          <w:color w:val="000000" w:themeColor="text1"/>
          <w:sz w:val="24"/>
          <w14:textFill>
            <w14:solidFill>
              <w14:schemeClr w14:val="tx1"/>
            </w14:solidFill>
          </w14:textFill>
        </w:rPr>
        <w:t>进行国内公开招标，现欢迎国内合格的投标人前来提交密封的投标文件。</w:t>
      </w:r>
    </w:p>
    <w:p>
      <w:pPr>
        <w:spacing w:line="480" w:lineRule="atLeast"/>
        <w:ind w:firstLine="482"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一、项目编号：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PTHS2019073</w:t>
      </w:r>
    </w:p>
    <w:p>
      <w:pPr>
        <w:pStyle w:val="18"/>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二、项目名称</w:t>
      </w:r>
      <w:r>
        <w:rPr>
          <w:rFonts w:hint="eastAsia" w:asciiTheme="minorEastAsia" w:hAnsiTheme="minorEastAsia" w:eastAsiaTheme="minorEastAsia" w:cstheme="minorEastAsia"/>
          <w:b w:val="0"/>
          <w:bCs/>
          <w:color w:val="000000" w:themeColor="text1"/>
          <w:sz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lang w:eastAsia="zh-CN"/>
          <w14:textFill>
            <w14:solidFill>
              <w14:schemeClr w14:val="tx1"/>
            </w14:solidFill>
          </w14:textFill>
        </w:rPr>
        <w:t>智能平移门采购项目</w:t>
      </w:r>
      <w:r>
        <w:rPr>
          <w:rFonts w:hint="eastAsia" w:asciiTheme="minorEastAsia" w:hAnsiTheme="minorEastAsia" w:eastAsiaTheme="minorEastAsia" w:cstheme="minorEastAsia"/>
          <w:b w:val="0"/>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（具体内容详见附招标货物一览表）</w:t>
      </w:r>
    </w:p>
    <w:p>
      <w:pPr>
        <w:pStyle w:val="18"/>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三、资格标准： </w:t>
      </w:r>
    </w:p>
    <w:p>
      <w:pPr>
        <w:spacing w:line="340" w:lineRule="exact"/>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1.1、投标人资格证明文件：投标人提供有效的三证合一的营业执照复印件</w:t>
      </w:r>
    </w:p>
    <w:p>
      <w:pPr>
        <w:spacing w:line="340" w:lineRule="exact"/>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r>
        <w:rPr>
          <w:rFonts w:hint="eastAsia" w:asciiTheme="minorEastAsia" w:hAnsiTheme="minorEastAsia" w:eastAsiaTheme="minorEastAsia" w:cstheme="minorEastAsia"/>
          <w:bCs/>
          <w:color w:val="000000" w:themeColor="text1"/>
          <w:sz w:val="24"/>
          <w14:textFill>
            <w14:solidFill>
              <w14:schemeClr w14:val="tx1"/>
            </w14:solidFill>
          </w14:textFill>
        </w:rPr>
        <w:t>投标代表必须经投标方的法定代表人关于参与本项目投标报价的授权，请提供法定代表人授权投标代表的授权委托书原件(投标代表是法定代表人无需)，法定代表人和投标代表人的身份证复印件。</w:t>
      </w:r>
    </w:p>
    <w:p>
      <w:pPr>
        <w:spacing w:line="340" w:lineRule="exact"/>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财务状况报告{投标人须提供(上一年度经审计的财务报告(包括资产负债表、利润表、现金流量表)或其基本开户银行出具的资信证明。(提供资信证明的应附投标人开户许可证复印件)、依法缴纳税收和依法缴纳社保资金的证明材料，投标人依法免税或不需要缴纳社保资金的应提供证明。</w:t>
      </w:r>
    </w:p>
    <w:p>
      <w:pPr>
        <w:spacing w:line="340" w:lineRule="exact"/>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1.4、投标人应具备相关法律法规、行政规章条例中规定的参加招标采购活动应当具备的条件。</w:t>
      </w:r>
    </w:p>
    <w:p>
      <w:pPr>
        <w:spacing w:line="340" w:lineRule="exact"/>
        <w:ind w:firstLine="422" w:firstLineChars="175"/>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1.5、投标人提供自身无行贿犯罪记录的说明或承诺函（投标人自行编写承诺函或说明函即可，格式自拟）。</w:t>
      </w:r>
    </w:p>
    <w:p>
      <w:pPr>
        <w:spacing w:line="3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1.6、本次招标不允许联合体进行响应。</w:t>
      </w:r>
    </w:p>
    <w:p>
      <w:pPr>
        <w:spacing w:line="340" w:lineRule="exact"/>
        <w:ind w:firstLine="501" w:firstLineChars="209"/>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w:t>
      </w:r>
      <w:r>
        <w:rPr>
          <w:rFonts w:hint="eastAsia" w:asciiTheme="minorEastAsia" w:hAnsiTheme="minorEastAsia" w:eastAsiaTheme="minorEastAsia" w:cstheme="minorEastAsia"/>
          <w:b/>
          <w:color w:val="000000" w:themeColor="text1"/>
          <w:kern w:val="0"/>
          <w:sz w:val="24"/>
          <w14:textFill>
            <w14:solidFill>
              <w14:schemeClr w14:val="tx1"/>
            </w14:solidFill>
          </w14:textFill>
        </w:rPr>
        <w:t>信用记录查询结果：</w:t>
      </w:r>
      <w:r>
        <w:rPr>
          <w:rFonts w:hint="eastAsia" w:asciiTheme="minorEastAsia" w:hAnsiTheme="minorEastAsia" w:eastAsiaTheme="minorEastAsia" w:cstheme="minorEastAsia"/>
          <w:color w:val="000000" w:themeColor="text1"/>
          <w:kern w:val="0"/>
          <w:sz w:val="24"/>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autoSpaceDE w:val="0"/>
        <w:autoSpaceDN w:val="0"/>
        <w:spacing w:line="34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1.8、</w:t>
      </w:r>
      <w:r>
        <w:rPr>
          <w:rFonts w:hint="eastAsia" w:asciiTheme="minorEastAsia" w:hAnsiTheme="minorEastAsia" w:eastAsiaTheme="minorEastAsia" w:cstheme="minorEastAsia"/>
          <w:b/>
          <w:color w:val="000000" w:themeColor="text1"/>
          <w:kern w:val="0"/>
          <w:sz w:val="24"/>
          <w14:textFill>
            <w14:solidFill>
              <w14:schemeClr w14:val="tx1"/>
            </w14:solidFill>
          </w14:textFill>
        </w:rPr>
        <w:t>参加采购活动前三年内在经营活动中没有重大违法记录书面声明：</w:t>
      </w:r>
      <w:r>
        <w:rPr>
          <w:rFonts w:hint="eastAsia" w:asciiTheme="minorEastAsia" w:hAnsiTheme="minorEastAsia" w:eastAsiaTheme="minorEastAsia" w:cstheme="minorEastAsia"/>
          <w:color w:val="000000" w:themeColor="text1"/>
          <w:kern w:val="0"/>
          <w:sz w:val="24"/>
          <w14:textFill>
            <w14:solidFill>
              <w14:schemeClr w14:val="tx1"/>
            </w14:solidFill>
          </w14:textFill>
        </w:rPr>
        <w:t>1、“重大违法记录”指投标人因违法经营受到刑事处罚或责令停产停业、吊销许可证或执照、较大数额罚款等行政处罚。 2、纸质响应文件正本中的本声明应为原件。</w:t>
      </w:r>
    </w:p>
    <w:p>
      <w:pPr>
        <w:tabs>
          <w:tab w:val="left" w:pos="2655"/>
        </w:tabs>
        <w:spacing w:line="440" w:lineRule="atLeast"/>
        <w:ind w:firstLine="482"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四、时间、地点安排</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ab/>
      </w:r>
    </w:p>
    <w:p>
      <w:pPr>
        <w:tabs>
          <w:tab w:val="left" w:pos="1740"/>
        </w:tabs>
        <w:spacing w:line="400" w:lineRule="exact"/>
        <w:ind w:right="25" w:rightChars="12"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1、报名时间：2019年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14:textFill>
            <w14:solidFill>
              <w14:schemeClr w14:val="tx1"/>
            </w14:solidFill>
          </w14:textFill>
        </w:rPr>
        <w:t>日～2019年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14:textFill>
            <w14:solidFill>
              <w14:schemeClr w14:val="tx1"/>
            </w14:solidFill>
          </w14:textFill>
        </w:rPr>
        <w:t>日(节假日除外)，每天上午8:30～11:30，下午14：30～17:30(北京时间)。</w:t>
      </w:r>
    </w:p>
    <w:p>
      <w:pPr>
        <w:spacing w:line="400" w:lineRule="exact"/>
        <w:ind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2、投标文件递交截止、开标时间：2019年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上午9</w:t>
      </w:r>
      <w:bookmarkStart w:id="104" w:name="_GoBack"/>
      <w:bookmarkEnd w:id="104"/>
      <w:r>
        <w:rPr>
          <w:rFonts w:hint="eastAsia" w:asciiTheme="minorEastAsia" w:hAnsiTheme="minorEastAsia" w:eastAsiaTheme="minorEastAsia" w:cstheme="minorEastAsia"/>
          <w:color w:val="000000" w:themeColor="text1"/>
          <w:sz w:val="24"/>
          <w:u w:val="single"/>
          <w14:textFill>
            <w14:solidFill>
              <w14:schemeClr w14:val="tx1"/>
            </w14:solidFill>
          </w14:textFill>
        </w:rPr>
        <w:t>时</w:t>
      </w:r>
      <w:r>
        <w:rPr>
          <w:rFonts w:hint="eastAsia" w:asciiTheme="minorEastAsia" w:hAnsiTheme="minorEastAsia" w:eastAsiaTheme="minorEastAsia" w:cstheme="minorEastAsia"/>
          <w:color w:val="000000" w:themeColor="text1"/>
          <w:sz w:val="24"/>
          <w14:textFill>
            <w14:solidFill>
              <w14:schemeClr w14:val="tx1"/>
            </w14:solidFill>
          </w14:textFill>
        </w:rPr>
        <w:t xml:space="preserve">，逾期收到的或不符合规定的投标文件将被拒绝。 </w:t>
      </w:r>
    </w:p>
    <w:p>
      <w:pPr>
        <w:tabs>
          <w:tab w:val="left" w:pos="1740"/>
        </w:tabs>
        <w:spacing w:line="440" w:lineRule="atLeast"/>
        <w:ind w:right="25" w:rightChars="12"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4、地点安排：</w:t>
      </w:r>
    </w:p>
    <w:p>
      <w:pPr>
        <w:tabs>
          <w:tab w:val="left" w:pos="420"/>
          <w:tab w:val="left" w:pos="2160"/>
        </w:tabs>
        <w:spacing w:line="440" w:lineRule="atLeast"/>
        <w:ind w:right="25" w:rightChars="12"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4.1投标、咨询及来往信函地点：莆田市城厢区东园路西山小区B区8号楼2梯405室。</w:t>
      </w:r>
    </w:p>
    <w:p>
      <w:pPr>
        <w:tabs>
          <w:tab w:val="left" w:pos="210"/>
          <w:tab w:val="left" w:pos="525"/>
          <w:tab w:val="left" w:pos="2160"/>
        </w:tabs>
        <w:spacing w:line="440" w:lineRule="atLeast"/>
        <w:ind w:right="25" w:rightChars="12" w:firstLine="523" w:firstLineChars="218"/>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4.2投标文件递交及开标地点：莆田市城厢区东园路西山小区B区8号楼2梯405室，投标文件由福建莆田恒顺招标代理有限公司工作人员接收，联系电话：0594-2211398。</w:t>
      </w:r>
    </w:p>
    <w:p>
      <w:pPr>
        <w:spacing w:line="440" w:lineRule="atLeast"/>
        <w:ind w:firstLine="482"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五、投标保证金：</w:t>
      </w:r>
      <w:r>
        <w:rPr>
          <w:rFonts w:hint="eastAsia" w:asciiTheme="minorEastAsia" w:hAnsiTheme="minorEastAsia" w:eastAsiaTheme="minorEastAsia" w:cstheme="minorEastAsia"/>
          <w:color w:val="000000" w:themeColor="text1"/>
          <w:sz w:val="24"/>
          <w14:textFill>
            <w14:solidFill>
              <w14:schemeClr w14:val="tx1"/>
            </w14:solidFill>
          </w14:textFill>
        </w:rPr>
        <w:t>投标保证金为人民币</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贰仟</w:t>
      </w:r>
      <w:r>
        <w:rPr>
          <w:rFonts w:hint="eastAsia" w:asciiTheme="minorEastAsia" w:hAnsiTheme="minorEastAsia" w:eastAsiaTheme="minorEastAsia" w:cstheme="minorEastAsia"/>
          <w:color w:val="000000" w:themeColor="text1"/>
          <w:sz w:val="24"/>
          <w14:textFill>
            <w14:solidFill>
              <w14:schemeClr w14:val="tx1"/>
            </w14:solidFill>
          </w14:textFill>
        </w:rPr>
        <w:t>元整（￥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000元）；各投标人于投标截止时间前将保证金以银行转账或汇票形式提交。（注：保证金必须以转账或电汇等非现金形式交纳，请投标单位在存款单上注明采购项目编号及投标单位名称，投标人在递交投标响应文件的同时应提交缴纳保证金的银行回单。）</w:t>
      </w:r>
    </w:p>
    <w:p>
      <w:pPr>
        <w:spacing w:line="440" w:lineRule="atLeas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六、取得招标文件方式及标书工本费：</w:t>
      </w:r>
    </w:p>
    <w:p>
      <w:pPr>
        <w:autoSpaceDE w:val="0"/>
        <w:autoSpaceDN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1、上门报名：即投标人直接到我司购买招标文件。</w:t>
      </w:r>
    </w:p>
    <w:p>
      <w:pPr>
        <w:autoSpaceDE w:val="0"/>
        <w:autoSpaceDN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autoSpaceDE w:val="0"/>
        <w:autoSpaceDN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3、招标文件售价为100元/份(含电子文档)，邮购费50元，本招标代理公司不对邮寄过程中可能发生的延误或丢失负责，本文件售后不退。</w:t>
      </w:r>
    </w:p>
    <w:p>
      <w:pPr>
        <w:spacing w:line="44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七、投标人对本次招标活动事项提出疑问的，请在投标截止时间15日之前，以信函或传真的形式与招标代理机构联系。</w:t>
      </w:r>
    </w:p>
    <w:p>
      <w:pPr>
        <w:spacing w:line="440" w:lineRule="atLeas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八、我司将在</w:t>
      </w:r>
      <w:r>
        <w:rPr>
          <w:rFonts w:hint="eastAsia" w:asciiTheme="minorEastAsia" w:hAnsiTheme="minorEastAsia" w:eastAsiaTheme="minorEastAsia" w:cstheme="minorEastAsia"/>
          <w:b/>
          <w:bCs/>
          <w:color w:val="000000" w:themeColor="text1"/>
          <w:sz w:val="24"/>
          <w14:textFill>
            <w14:solidFill>
              <w14:schemeClr w14:val="tx1"/>
            </w14:solidFill>
          </w14:textFill>
        </w:rPr>
        <w:t>中国政府采购网等网上</w:t>
      </w:r>
      <w:r>
        <w:rPr>
          <w:rFonts w:hint="eastAsia" w:asciiTheme="minorEastAsia" w:hAnsiTheme="minorEastAsia" w:eastAsiaTheme="minorEastAsia" w:cstheme="minorEastAsia"/>
          <w:color w:val="000000" w:themeColor="text1"/>
          <w:sz w:val="24"/>
          <w14:textFill>
            <w14:solidFill>
              <w14:schemeClr w14:val="tx1"/>
            </w14:solidFill>
          </w14:textFill>
        </w:rPr>
        <w:t>上发布本项目的采购公告、更改通知、答疑纪要、评标结果等信息，请投标人及时关注，投标人若自己没有在以上网站上查询相关更改通知和答疑纪要等信息而影响投标的，投标人自行承担相关责任。</w:t>
      </w:r>
    </w:p>
    <w:p>
      <w:pPr>
        <w:spacing w:line="440" w:lineRule="exact"/>
        <w:ind w:firstLine="354" w:firstLineChars="147"/>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九、福建莆田恒顺招标代理有限公司指定帐户：</w:t>
      </w:r>
    </w:p>
    <w:p>
      <w:pPr>
        <w:tabs>
          <w:tab w:val="left" w:pos="1134"/>
        </w:tabs>
        <w:spacing w:line="350" w:lineRule="exact"/>
        <w:ind w:firstLine="236" w:firstLineChars="98"/>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（1）保证金缴纳账户：</w:t>
      </w:r>
      <w:r>
        <w:rPr>
          <w:rFonts w:hint="eastAsia" w:asciiTheme="minorEastAsia" w:hAnsiTheme="minorEastAsia" w:eastAsiaTheme="minorEastAsia" w:cstheme="minorEastAsia"/>
          <w:b/>
          <w:color w:val="000000" w:themeColor="text1"/>
          <w:sz w:val="24"/>
          <w14:textFill>
            <w14:solidFill>
              <w14:schemeClr w14:val="tx1"/>
            </w14:solidFill>
          </w14:textFill>
        </w:rPr>
        <w:t>开户名--福建莆田恒顺招标代理有限公司，开户行—莆田农商行行政服务中心支行，帐号—9040 2100 3001 0000 0142 59</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p>
    <w:p>
      <w:pPr>
        <w:spacing w:line="44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（2）标书工本费及中标服务费缴纳账户：开户名--福建莆田恒顺招标代理有限公司，开户行—中国邮政储蓄银行股份有限公司莆田市荔城区支行，帐号— 1005 5753 8980 0100 01。</w:t>
      </w:r>
    </w:p>
    <w:p>
      <w:pPr>
        <w:widowControl/>
        <w:spacing w:line="440" w:lineRule="exact"/>
        <w:ind w:firstLine="361" w:firstLineChars="150"/>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十、采购人和招标代理人的名称和地址</w:t>
      </w:r>
    </w:p>
    <w:p>
      <w:pPr>
        <w:widowControl/>
        <w:spacing w:line="440" w:lineRule="exact"/>
        <w:ind w:firstLine="600" w:firstLineChars="25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(1)(1)采购人：湄洲湾职业技术学院</w:t>
      </w:r>
    </w:p>
    <w:p>
      <w:pPr>
        <w:spacing w:line="440" w:lineRule="exact"/>
        <w:ind w:firstLine="960" w:firstLineChars="4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蔡先生</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联系方式：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13959553332</w:t>
      </w:r>
    </w:p>
    <w:p>
      <w:pPr>
        <w:spacing w:line="4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招标代理人：福建莆田恒顺招标代理有限公司</w:t>
      </w:r>
    </w:p>
    <w:p>
      <w:pPr>
        <w:spacing w:line="440" w:lineRule="exact"/>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地址：莆田市城厢区东园路西山小区B区8号楼2梯405</w:t>
      </w:r>
    </w:p>
    <w:p>
      <w:pPr>
        <w:spacing w:line="440" w:lineRule="exact"/>
        <w:ind w:firstLine="960" w:firstLineChars="40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联系人：小金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小潘</w:t>
      </w:r>
    </w:p>
    <w:p>
      <w:pPr>
        <w:spacing w:line="440" w:lineRule="exact"/>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电话：0594-2211398  </w:t>
      </w:r>
    </w:p>
    <w:p>
      <w:pPr>
        <w:spacing w:line="440" w:lineRule="exact"/>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公司邮箱：</w:t>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"mailto:pths2015@sina.com"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34"/>
          <w:rFonts w:hint="eastAsia" w:asciiTheme="minorEastAsia" w:hAnsiTheme="minorEastAsia" w:eastAsiaTheme="minorEastAsia" w:cstheme="minorEastAsia"/>
          <w:color w:val="000000" w:themeColor="text1"/>
          <w:sz w:val="24"/>
          <w14:textFill>
            <w14:solidFill>
              <w14:schemeClr w14:val="tx1"/>
            </w14:solidFill>
          </w14:textFill>
        </w:rPr>
        <w:t>pths2015@sina.com</w:t>
      </w:r>
      <w:r>
        <w:rPr>
          <w:rStyle w:val="34"/>
          <w:rFonts w:hint="eastAsia" w:asciiTheme="minorEastAsia" w:hAnsiTheme="minorEastAsia" w:eastAsiaTheme="minorEastAsia" w:cstheme="minorEastAsia"/>
          <w:color w:val="000000" w:themeColor="text1"/>
          <w:sz w:val="24"/>
          <w14:textFill>
            <w14:solidFill>
              <w14:schemeClr w14:val="tx1"/>
            </w14:solidFill>
          </w14:textFill>
        </w:rPr>
        <w:fldChar w:fldCharType="end"/>
      </w: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附：招标货物一览表</w:t>
      </w:r>
    </w:p>
    <w:p>
      <w:pPr>
        <w:pStyle w:val="27"/>
        <w:widowControl/>
        <w:jc w:val="righ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金额单位：人民币元 </w:t>
      </w: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tbl>
      <w:tblPr>
        <w:tblStyle w:val="30"/>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91"/>
        <w:gridCol w:w="3163"/>
        <w:gridCol w:w="1009"/>
        <w:gridCol w:w="1214"/>
        <w:gridCol w:w="1527"/>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合同包</w:t>
            </w:r>
          </w:p>
        </w:tc>
        <w:tc>
          <w:tcPr>
            <w:tcW w:w="791"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品目号</w:t>
            </w:r>
          </w:p>
        </w:tc>
        <w:tc>
          <w:tcPr>
            <w:tcW w:w="3163"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采购标的</w:t>
            </w:r>
          </w:p>
        </w:tc>
        <w:tc>
          <w:tcPr>
            <w:tcW w:w="1009"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允许进口</w:t>
            </w:r>
          </w:p>
        </w:tc>
        <w:tc>
          <w:tcPr>
            <w:tcW w:w="1214"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数量</w:t>
            </w:r>
          </w:p>
        </w:tc>
        <w:tc>
          <w:tcPr>
            <w:tcW w:w="1527"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合同包预算（元）</w:t>
            </w:r>
          </w:p>
        </w:tc>
        <w:tc>
          <w:tcPr>
            <w:tcW w:w="1364"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47"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791"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3163" w:type="dxa"/>
            <w:vAlign w:val="center"/>
          </w:tcPr>
          <w:p>
            <w:pPr>
              <w:spacing w:line="4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智能平移门采购项目</w:t>
            </w:r>
          </w:p>
        </w:tc>
        <w:tc>
          <w:tcPr>
            <w:tcW w:w="1009"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否</w:t>
            </w:r>
          </w:p>
        </w:tc>
        <w:tc>
          <w:tcPr>
            <w:tcW w:w="1214"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1（项）</w:t>
            </w:r>
          </w:p>
        </w:tc>
        <w:tc>
          <w:tcPr>
            <w:tcW w:w="1527"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14:textFill>
                  <w14:solidFill>
                    <w14:schemeClr w14:val="tx1"/>
                  </w14:solidFill>
                </w14:textFill>
              </w:rPr>
              <w:t>000.00</w:t>
            </w:r>
          </w:p>
        </w:tc>
        <w:tc>
          <w:tcPr>
            <w:tcW w:w="1364" w:type="dxa"/>
            <w:vAlign w:val="center"/>
          </w:tcPr>
          <w:p>
            <w:pPr>
              <w:spacing w:line="46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5" w:type="dxa"/>
            <w:gridSpan w:val="7"/>
          </w:tcPr>
          <w:p>
            <w:pPr>
              <w:widowControl/>
              <w:spacing w:line="4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1.合同签订时间：中标通知书发出后15天内签订合同。</w:t>
            </w:r>
          </w:p>
          <w:p>
            <w:pPr>
              <w:widowControl/>
              <w:spacing w:line="4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2.交货地点：按招标人指定地点。</w:t>
            </w:r>
          </w:p>
          <w:p>
            <w:pPr>
              <w:widowControl/>
              <w:spacing w:line="4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3.交货期：签订合同之日起</w:t>
            </w: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14:textFill>
                  <w14:solidFill>
                    <w14:schemeClr w14:val="tx1"/>
                  </w14:solidFill>
                </w14:textFill>
              </w:rPr>
              <w:t>个日历日内供货安装完毕，且初验合格，交付使用。</w:t>
            </w:r>
          </w:p>
          <w:p>
            <w:pPr>
              <w:widowControl/>
              <w:spacing w:line="440" w:lineRule="exact"/>
              <w:jc w:val="left"/>
              <w:rPr>
                <w:rFonts w:hint="default" w:eastAsia="宋体" w:asciiTheme="minorEastAsia" w:hAnsiTheme="minorEastAsia" w:cstheme="minorEastAsia"/>
                <w:b/>
                <w:color w:val="000000" w:themeColor="text1"/>
                <w:kern w:val="0"/>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4.付款方式：付款前，中标供应商需一次性开具该项目全额发票；货物安装调试结束后，经初验合格后的30个工作日内支付合同价款</w:t>
            </w:r>
            <w:r>
              <w:rPr>
                <w:rFonts w:hint="eastAsia" w:ascii="宋体" w:hAnsi="宋体"/>
                <w:color w:val="000000" w:themeColor="text1"/>
                <w:sz w:val="24"/>
                <w:lang w:val="en-US" w:eastAsia="zh-CN"/>
                <w14:textFill>
                  <w14:solidFill>
                    <w14:schemeClr w14:val="tx1"/>
                  </w14:solidFill>
                </w14:textFill>
              </w:rPr>
              <w:t>90</w:t>
            </w:r>
            <w:r>
              <w:rPr>
                <w:rFonts w:hint="eastAsia" w:ascii="宋体" w:hAnsi="宋体"/>
                <w:color w:val="000000" w:themeColor="text1"/>
                <w:sz w:val="24"/>
                <w14:textFill>
                  <w14:solidFill>
                    <w14:schemeClr w14:val="tx1"/>
                  </w14:solidFill>
                </w14:textFill>
              </w:rPr>
              <w:t>%；试运行结束后，经最终验收合格后的</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年后支付合同价款</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中标人必须提前向采购单位提供全额发票，否则采购单位有权相应顺延付款时间。</w:t>
            </w:r>
            <w:r>
              <w:rPr>
                <w:rFonts w:hint="eastAsia" w:ascii="宋体" w:hAnsi="宋体"/>
                <w:color w:val="000000" w:themeColor="text1"/>
                <w:sz w:val="24"/>
                <w:lang w:eastAsia="zh-CN"/>
                <w14:textFill>
                  <w14:solidFill>
                    <w14:schemeClr w14:val="tx1"/>
                  </w14:solidFill>
                </w14:textFill>
              </w:rPr>
              <w:t>）</w:t>
            </w:r>
          </w:p>
        </w:tc>
      </w:tr>
    </w:tbl>
    <w:p>
      <w:pPr>
        <w:spacing w:line="460" w:lineRule="exact"/>
        <w:ind w:firstLine="360" w:firstLineChars="15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备注：</w:t>
      </w: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投标人应按合同包报价，对同一合同包内所有品目号内容报价时必须完整。评标与授标以合同包为单位。</w:t>
      </w:r>
    </w:p>
    <w:p>
      <w:pPr>
        <w:spacing w:line="460" w:lineRule="exact"/>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本项目设有最高限价，超过最高限价的投标为无效投标。</w:t>
      </w:r>
    </w:p>
    <w:p>
      <w:pPr>
        <w:pStyle w:val="18"/>
        <w:tabs>
          <w:tab w:val="left" w:pos="8360"/>
        </w:tabs>
        <w:spacing w:line="460" w:lineRule="exact"/>
        <w:jc w:val="left"/>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、本项目为整体招标，招标内容包括以上货物及材料采购价格、运杂费、安装费、税费、包装费、验收费、保险费、售后服务费以及所有不可预见的费用均包含在</w:t>
      </w:r>
      <w:r>
        <w:rPr>
          <w:rFonts w:hint="eastAsia"/>
          <w:b/>
          <w:bCs/>
          <w:color w:val="000000" w:themeColor="text1"/>
          <w:sz w:val="24"/>
          <w14:textFill>
            <w14:solidFill>
              <w14:schemeClr w14:val="tx1"/>
            </w14:solidFill>
          </w14:textFill>
        </w:rPr>
        <w:t>投标报价</w:t>
      </w:r>
      <w:r>
        <w:rPr>
          <w:rFonts w:hint="eastAsia"/>
          <w:color w:val="000000" w:themeColor="text1"/>
          <w:sz w:val="24"/>
          <w14:textFill>
            <w14:solidFill>
              <w14:schemeClr w14:val="tx1"/>
            </w14:solidFill>
          </w14:textFill>
        </w:rPr>
        <w:t>中。投标人必须对本招标文件所需全部货物和服务内容做出完整的投标响应，否则为无效投标。</w:t>
      </w:r>
    </w:p>
    <w:p>
      <w:pPr>
        <w:spacing w:line="520" w:lineRule="exact"/>
        <w:rPr>
          <w:rFonts w:hint="eastAsia"/>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投标人可自行对施工现场和周围环境进行勘察，勘察设备安装现场的实际状况是否符合设备安装、使用的技术要求</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并根据勘察结果作出合理的判断进行投标。勘察现场所发生的费用由投标人自己承担。采购人向投标人提供的有关施工现场的资料和数据，是采购人现有的能供投标人参考的资料。采购人对投标人由此而做出的推论、理解和结论概不负责。投标人因自身原因未到施工现场实地踏勘的，中标后签订合同时和履约过程中，投标人不得以不完全了解现场情况为由，提出任何形式的增加工程造价或索赔的要求。</w:t>
      </w:r>
      <w:r>
        <w:rPr>
          <w:rFonts w:hint="eastAsia" w:ascii="宋体" w:hAnsi="宋体"/>
          <w:color w:val="000000" w:themeColor="text1"/>
          <w:sz w:val="24"/>
          <w14:textFill>
            <w14:solidFill>
              <w14:schemeClr w14:val="tx1"/>
            </w14:solidFill>
          </w14:textFill>
        </w:rPr>
        <w:t>现场勘查联系人：</w:t>
      </w:r>
      <w:r>
        <w:rPr>
          <w:rFonts w:hint="eastAsia" w:ascii="宋体" w:hAnsi="宋体"/>
          <w:color w:val="000000" w:themeColor="text1"/>
          <w:sz w:val="24"/>
          <w:lang w:eastAsia="zh-CN"/>
          <w14:textFill>
            <w14:solidFill>
              <w14:schemeClr w14:val="tx1"/>
            </w14:solidFill>
          </w14:textFill>
        </w:rPr>
        <w:t>陈</w:t>
      </w:r>
      <w:r>
        <w:rPr>
          <w:rFonts w:hint="eastAsia" w:ascii="宋体" w:hAnsi="宋体"/>
          <w:color w:val="000000" w:themeColor="text1"/>
          <w:sz w:val="24"/>
          <w:lang w:val="en-US" w:eastAsia="zh-CN"/>
          <w14:textFill>
            <w14:solidFill>
              <w14:schemeClr w14:val="tx1"/>
            </w14:solidFill>
          </w14:textFill>
        </w:rPr>
        <w:t>老师</w:t>
      </w: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13799627354</w:t>
      </w:r>
      <w:r>
        <w:rPr>
          <w:rFonts w:hint="eastAsia" w:ascii="宋体" w:hAnsi="宋体"/>
          <w:color w:val="000000" w:themeColor="text1"/>
          <w:sz w:val="24"/>
          <w14:textFill>
            <w14:solidFill>
              <w14:schemeClr w14:val="tx1"/>
            </w14:solidFill>
          </w14:textFill>
        </w:rPr>
        <w:t>。</w:t>
      </w:r>
    </w:p>
    <w:p>
      <w:pPr>
        <w:spacing w:line="460" w:lineRule="exact"/>
        <w:ind w:firstLine="361" w:firstLineChars="150"/>
        <w:rPr>
          <w:rFonts w:hint="eastAsia" w:asciiTheme="minorEastAsia" w:hAnsiTheme="minorEastAsia" w:eastAsiaTheme="minorEastAsia" w:cstheme="minorEastAsia"/>
          <w:b/>
          <w:color w:val="000000" w:themeColor="text1"/>
          <w:sz w:val="24"/>
          <w:u w:val="single"/>
          <w14:textFill>
            <w14:solidFill>
              <w14:schemeClr w14:val="tx1"/>
            </w14:solidFill>
          </w14:textFill>
        </w:rPr>
      </w:pPr>
    </w:p>
    <w:p>
      <w:pPr>
        <w:spacing w:after="240" w:afterLines="10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after="240" w:afterLines="10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after="240" w:afterLines="10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第二章  投标人须知</w:t>
      </w:r>
    </w:p>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投标人须知前附表</w:t>
      </w:r>
    </w:p>
    <w:p>
      <w:pPr>
        <w:spacing w:line="360" w:lineRule="auto"/>
        <w:ind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本须知前附表的条款号是与《投标人须知》中条款的项号相对应的。如果有矛盾的话，应以本须知前附表为准。 </w:t>
      </w:r>
    </w:p>
    <w:tbl>
      <w:tblPr>
        <w:tblStyle w:val="29"/>
        <w:tblW w:w="10153"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77"/>
        <w:gridCol w:w="750"/>
        <w:gridCol w:w="882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tblHeader/>
          <w:jc w:val="center"/>
        </w:trPr>
        <w:tc>
          <w:tcPr>
            <w:tcW w:w="577" w:type="dxa"/>
            <w:tcBorders>
              <w:top w:val="single" w:color="auto" w:sz="18" w:space="0"/>
              <w:bottom w:val="single" w:color="auto" w:sz="6" w:space="0"/>
            </w:tcBorders>
            <w:shd w:val="clear" w:color="auto" w:fill="FFFFFF"/>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项号</w:t>
            </w:r>
          </w:p>
        </w:tc>
        <w:tc>
          <w:tcPr>
            <w:tcW w:w="750" w:type="dxa"/>
            <w:tcBorders>
              <w:top w:val="single" w:color="auto" w:sz="18" w:space="0"/>
              <w:bottom w:val="single" w:color="auto" w:sz="6" w:space="0"/>
            </w:tcBorders>
            <w:shd w:val="clear" w:color="auto" w:fill="FFFFFF"/>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8826" w:type="dxa"/>
            <w:tcBorders>
              <w:top w:val="single" w:color="auto" w:sz="18" w:space="0"/>
              <w:bottom w:val="single" w:color="auto" w:sz="6" w:space="0"/>
            </w:tcBorders>
            <w:shd w:val="clear" w:color="auto" w:fill="FFFFFF"/>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编   列   内    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 w:hRule="atLeast"/>
          <w:jc w:val="center"/>
        </w:trPr>
        <w:tc>
          <w:tcPr>
            <w:tcW w:w="577" w:type="dxa"/>
            <w:tcBorders>
              <w:top w:val="single" w:color="auto" w:sz="6" w:space="0"/>
            </w:tcBorders>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tcBorders>
              <w:top w:val="single" w:color="auto" w:sz="6" w:space="0"/>
            </w:tcBorders>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8826" w:type="dxa"/>
            <w:tcBorders>
              <w:top w:val="single" w:color="auto" w:sz="6" w:space="0"/>
            </w:tcBorders>
            <w:vAlign w:val="center"/>
          </w:tcPr>
          <w:p>
            <w:pPr>
              <w:keepNext w:val="0"/>
              <w:keepLines w:val="0"/>
              <w:pageBreakBefore w:val="0"/>
              <w:widowControl w:val="0"/>
              <w:kinsoku/>
              <w:wordWrap/>
              <w:overflowPunct/>
              <w:topLinePunct w:val="0"/>
              <w:bidi w:val="0"/>
              <w:adjustRightInd/>
              <w:snapToGrid/>
              <w:spacing w:line="5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PTHS2019073</w:t>
            </w:r>
          </w:p>
          <w:p>
            <w:pPr>
              <w:keepNext w:val="0"/>
              <w:keepLines w:val="0"/>
              <w:pageBreakBefore w:val="0"/>
              <w:widowControl w:val="0"/>
              <w:kinsoku/>
              <w:wordWrap/>
              <w:overflowPunct/>
              <w:topLinePunct w:val="0"/>
              <w:bidi w:val="0"/>
              <w:adjustRightInd/>
              <w:snapToGrid/>
              <w:spacing w:line="5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智能平移门采购项目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8826" w:type="dxa"/>
          </w:tcPr>
          <w:p>
            <w:pPr>
              <w:keepNext w:val="0"/>
              <w:keepLines w:val="0"/>
              <w:pageBreakBefore w:val="0"/>
              <w:widowControl w:val="0"/>
              <w:kinsoku/>
              <w:wordWrap/>
              <w:overflowPunct/>
              <w:topLinePunct w:val="0"/>
              <w:bidi w:val="0"/>
              <w:adjustRightInd/>
              <w:snapToGrid/>
              <w:spacing w:line="52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资格标准：</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1.1、投标人资格证明文件：投标人提供有效的三证合一的营业执照复印件</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bCs/>
                <w:color w:val="000000" w:themeColor="text1"/>
                <w:sz w:val="24"/>
                <w:szCs w:val="24"/>
                <w14:textFill>
                  <w14:solidFill>
                    <w14:schemeClr w14:val="tx1"/>
                  </w14:solidFill>
                </w14:textFill>
              </w:rPr>
              <w:t>投标代表必须经投标方的法定代表人关于参与本项目投标报价的授权，请提供法定代表人授权投标代表的授权委托书原件(投标代表是法定代表人无需)，法定代表人和投标代表人的身份证复印件。</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财务状况报告{投标人须提供(上一年度经审计的财务报告(包括资产负债表、利润表、现金流量表)或其基本开户银行出具的资信证明。(提供资信证明的应附投标人开户许可证复印件)、依法缴纳税收和依法缴纳社保资金的证明材料，投标人依法免税或不需要缴纳社保资金的应提供证明。</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1.4、投标人应具备相关法律法规、行政规章条例中规定的参加招标采购活动应当具备的条件。</w:t>
            </w:r>
          </w:p>
          <w:p>
            <w:pPr>
              <w:keepNext w:val="0"/>
              <w:keepLines w:val="0"/>
              <w:pageBreakBefore w:val="0"/>
              <w:widowControl w:val="0"/>
              <w:kinsoku/>
              <w:wordWrap/>
              <w:overflowPunct/>
              <w:topLinePunct w:val="0"/>
              <w:bidi w:val="0"/>
              <w:adjustRightInd/>
              <w:snapToGrid/>
              <w:spacing w:line="520" w:lineRule="exact"/>
              <w:ind w:firstLine="422" w:firstLineChars="175"/>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1.5、投标人提供自身无行贿犯罪记录的说明或承诺函（投标人自行编写承诺函或说明函即可，格式自拟）。</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1.6、本次招标不允许联合体进行响应。</w:t>
            </w:r>
          </w:p>
          <w:p>
            <w:pPr>
              <w:keepNext w:val="0"/>
              <w:keepLines w:val="0"/>
              <w:pageBreakBefore w:val="0"/>
              <w:widowControl w:val="0"/>
              <w:kinsoku/>
              <w:wordWrap/>
              <w:overflowPunct/>
              <w:topLinePunct w:val="0"/>
              <w:bidi w:val="0"/>
              <w:adjustRightInd/>
              <w:snapToGrid/>
              <w:spacing w:line="520" w:lineRule="exact"/>
              <w:ind w:firstLine="501" w:firstLineChars="209"/>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r>
              <w:rPr>
                <w:rFonts w:hint="eastAsia" w:ascii="宋体" w:hAnsi="宋体" w:eastAsia="宋体" w:cs="宋体"/>
                <w:b/>
                <w:color w:val="000000" w:themeColor="text1"/>
                <w:kern w:val="0"/>
                <w:sz w:val="24"/>
                <w:szCs w:val="24"/>
                <w14:textFill>
                  <w14:solidFill>
                    <w14:schemeClr w14:val="tx1"/>
                  </w14:solidFill>
                </w14:textFill>
              </w:rPr>
              <w:t>信用记录查询结果：</w:t>
            </w:r>
            <w:r>
              <w:rPr>
                <w:rFonts w:hint="eastAsia" w:ascii="宋体" w:hAnsi="宋体" w:eastAsia="宋体" w:cs="宋体"/>
                <w:color w:val="000000" w:themeColor="text1"/>
                <w:kern w:val="0"/>
                <w:sz w:val="24"/>
                <w:szCs w:val="24"/>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r>
              <w:rPr>
                <w:rFonts w:hint="eastAsia" w:ascii="宋体" w:hAnsi="宋体" w:eastAsia="宋体" w:cs="宋体"/>
                <w:b/>
                <w:color w:val="000000" w:themeColor="text1"/>
                <w:kern w:val="0"/>
                <w:sz w:val="24"/>
                <w:szCs w:val="24"/>
                <w14:textFill>
                  <w14:solidFill>
                    <w14:schemeClr w14:val="tx1"/>
                  </w14:solidFill>
                </w14:textFill>
              </w:rPr>
              <w:t>参加采购活动前三年内在经营活动中没有重大违法记录书面声明：</w:t>
            </w:r>
            <w:r>
              <w:rPr>
                <w:rFonts w:hint="eastAsia" w:ascii="宋体" w:hAnsi="宋体" w:eastAsia="宋体" w:cs="宋体"/>
                <w:color w:val="000000" w:themeColor="text1"/>
                <w:kern w:val="0"/>
                <w:sz w:val="24"/>
                <w:szCs w:val="24"/>
                <w14:textFill>
                  <w14:solidFill>
                    <w14:schemeClr w14:val="tx1"/>
                  </w14:solidFill>
                </w14:textFill>
              </w:rPr>
              <w:t>1、“重大违法记录”指投标人因违法经营受到刑事处罚或责令停产停业、吊销许可证或执照、较大数额罚款等行政处罚。 2、纸质响应文件正本中的本声明应为原件。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投标有效期：投标截止期结束后90个日历日。</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有效期不足将导致其投标文件被拒绝。</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投标文件递交地址：莆田市城厢区东园路西山小区B区8号楼2梯405室</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接收人：招标公司工作人员</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投标截止时间：2019年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r>
              <w:rPr>
                <w:rFonts w:hint="eastAsia" w:ascii="宋体" w:hAnsi="宋体" w:eastAsia="宋体" w:cs="宋体"/>
                <w:color w:val="000000" w:themeColor="text1"/>
                <w:sz w:val="24"/>
                <w:szCs w:val="24"/>
                <w:lang w:val="en-US" w:eastAsia="zh-CN"/>
                <w14:textFill>
                  <w14:solidFill>
                    <w14:schemeClr w14:val="tx1"/>
                  </w14:solidFill>
                </w14:textFill>
              </w:rPr>
              <w:t>上</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eastAsia="宋体" w:cs="宋体"/>
                <w:color w:val="000000" w:themeColor="text1"/>
                <w:sz w:val="24"/>
                <w:szCs w:val="24"/>
                <w:lang w:val="en-US" w:eastAsia="zh-CN"/>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8826"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投标保证金：投标保证金为人民币</w:t>
            </w:r>
            <w:r>
              <w:rPr>
                <w:rFonts w:hint="eastAsia" w:ascii="宋体" w:hAnsi="宋体" w:cs="宋体"/>
                <w:b/>
                <w:bCs/>
                <w:color w:val="000000" w:themeColor="text1"/>
                <w:sz w:val="24"/>
                <w:szCs w:val="24"/>
                <w:lang w:eastAsia="zh-CN"/>
                <w14:textFill>
                  <w14:solidFill>
                    <w14:schemeClr w14:val="tx1"/>
                  </w14:solidFill>
                </w14:textFill>
              </w:rPr>
              <w:t>贰仟</w:t>
            </w:r>
            <w:r>
              <w:rPr>
                <w:rFonts w:hint="eastAsia" w:ascii="宋体" w:hAnsi="宋体" w:eastAsia="宋体" w:cs="宋体"/>
                <w:b/>
                <w:bCs/>
                <w:color w:val="000000" w:themeColor="text1"/>
                <w:sz w:val="24"/>
                <w:szCs w:val="24"/>
                <w14:textFill>
                  <w14:solidFill>
                    <w14:schemeClr w14:val="tx1"/>
                  </w14:solidFill>
                </w14:textFill>
              </w:rPr>
              <w:t>元整（￥</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000元）；各投标人于投标截止时间前将保证金以银行转账或汇票形式提交。（注：保证金必须以转账或电汇等非现金形式交纳，请投标单位在存款单上注明采购项目编号及投标单位名称，投标人在递交投标响应文件的同时应提交缴纳保证金的银行回单。）</w:t>
            </w:r>
          </w:p>
          <w:p>
            <w:pPr>
              <w:keepNext w:val="0"/>
              <w:keepLines w:val="0"/>
              <w:pageBreakBefore w:val="0"/>
              <w:widowControl w:val="0"/>
              <w:numPr>
                <w:ilvl w:val="0"/>
                <w:numId w:val="2"/>
              </w:numPr>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履约保证金：</w:t>
            </w:r>
            <w:r>
              <w:rPr>
                <w:rFonts w:hint="eastAsia" w:ascii="宋体" w:hAnsi="宋体" w:eastAsia="宋体" w:cs="宋体"/>
                <w:b/>
                <w:bCs/>
                <w:color w:val="000000" w:themeColor="text1"/>
                <w:sz w:val="24"/>
                <w:szCs w:val="24"/>
                <w14:textFill>
                  <w14:solidFill>
                    <w14:schemeClr w14:val="tx1"/>
                  </w14:solidFill>
                </w14:textFill>
              </w:rPr>
              <w:t>中标人在与采购单位签订合同前，需通过银行转账方式提交中标总金额10%的履约保证金。该履约保证金在项目最终验收合格后转为质量保证金，该保证金在免费质量保修期满后，且中标供应商供应的货物全部验收合格，无质量及售后服务问题时，采购单位在收到成交供应商的付款申请后 15个工作日内无息退还。中标供应商的履约保证金在汇入时应备注项目名称及保证金性质，如“湄洲湾职业技术学院新校区智能平移门采购及安装项目履约保证金”。汇款后，应到采购单位的相关部门开具收款收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本批招标无效投标：详见招标文件第17.3资格性检查和符合性检查及资格标准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38"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废标条款：</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根据《中华人民共和国政府采购法》第三十六条规定，在招标采购中，出现下列情形之一的，应予废标：</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(一)符合专业条件的投标人或者对招标文件作实质响应的投标人不足三家的； </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(二)出现影响采购公正的违法、违规行为的； </w:t>
            </w:r>
          </w:p>
          <w:p>
            <w:pPr>
              <w:keepNext w:val="0"/>
              <w:keepLines w:val="0"/>
              <w:pageBreakBefore w:val="0"/>
              <w:widowControl w:val="0"/>
              <w:tabs>
                <w:tab w:val="left" w:pos="6930"/>
              </w:tabs>
              <w:kinsoku/>
              <w:wordWrap/>
              <w:overflowPunct/>
              <w:topLinePunct w:val="0"/>
              <w:bidi w:val="0"/>
              <w:adjustRightInd/>
              <w:snapToGrid/>
              <w:spacing w:line="520" w:lineRule="exact"/>
              <w:ind w:right="6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(三)因重大变故，采购任务取消的。</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8826" w:type="dxa"/>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评标标准和方法：本次合同包采用综合评分法（具体详见附件1）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16"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招标代理费：招标代理费由中标人在领取中标通知书前按中标价的1.5%一次性缴清。</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开户名--福建莆田恒顺招标代理有限公司，开户行—中国邮政储蓄银行股份有限公司莆田市荔城区支行，帐号—1005 5753 8980 0100 01。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66" w:hRule="atLeast"/>
          <w:jc w:val="center"/>
        </w:trPr>
        <w:tc>
          <w:tcPr>
            <w:tcW w:w="577" w:type="dxa"/>
            <w:vAlign w:val="center"/>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本招标项目行政监督部门：相关部门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577" w:type="dxa"/>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ind w:left="360" w:hanging="360" w:hangingChars="15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1、若投标人提供的产品技术部分存在虚假应标情况，其所投产品将做废标处理。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77" w:type="dxa"/>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必须对其投标文件中提供各种资料、说明的真实性负责。在评标过程中，如有发现投标人有为谋取中标而提供虚假资料欺骗招标人和评委的行为，将取消其中标资格，其投标保证金将不予退还。定标后，招标人有可能对中标人投标文件中的承诺内容和证明材料进行核查，中标人应无条件配合招标人的核查工作，不得托词拒绝核查或隐瞒真实情况。若在中标后签订合同时，发现中标人是提供虚假材料谋取中标等违法违规行为，招标人将取消其中标人资格，其投标保证金将不予退还，给招标人造成损失的，还必须进行赔偿并负相关责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jc w:val="center"/>
        </w:trPr>
        <w:tc>
          <w:tcPr>
            <w:tcW w:w="577" w:type="dxa"/>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ind w:left="360" w:hanging="360" w:hanging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其它要求：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577" w:type="dxa"/>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重大偏差和细微偏差界定：</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1、严格界定投标偏差。评标委员会应当根据招标文件，审查并逐项界定投标文件的全部投标偏差。投标偏差分为重大偏差和细微偏差。</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2、重大偏差。下列情况属于重大偏差：</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(1)投标文件未按招标文件要求加盖公章并由负责人或其书面授权的代理人签字的；</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(2)投标联合体未提交联合体协议的；</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(3)投标文件载明的招标项目完成期限超过招标文件规定的；</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(4)明显不符合技术规格、技术标准的要求；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(5)投标文件载明的货物包装方式、检验标准和方法等不符合招标文件的要求；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(6)投标文件附有招标人不能接受的条件；</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(7)不符合招标文件中规定的其他实质性要求。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投标文件有上述情形之一的，应认定为未对招标文件作出实质性响应，作无效投标处理。</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应当书面要求存在细微偏差的投标人在评标结束前予以补正。补正的程序和方法按照法律法规对澄清的规定执行。无法补正的，可在评审时对细微偏差作不利于该投标人的认定。不利的认定标准应当在招标文件中量化。采用综合评分法的，可对细微偏差采取扣分做法，扣分标准应在招标文件中列明。采用最低评标价法的，可对细微偏差采取计量做法，约定一定数量以上的累积细微偏差视为技术商务不合格，该投标人不予推荐为中标候选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577" w:type="dxa"/>
          </w:tcPr>
          <w:p>
            <w:pPr>
              <w:keepNext w:val="0"/>
              <w:keepLines w:val="0"/>
              <w:pageBreakBefore w:val="0"/>
              <w:widowControl w:val="0"/>
              <w:numPr>
                <w:ilvl w:val="0"/>
                <w:numId w:val="1"/>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根据福建省财政厅闽财购办[2013]39号通知的规定，同一品牌同一型号产品只能由一家投标人参加。如果有多家代理商参加同一品牌同一型号产品投标的，应当作为一个投标人计算。</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在评标过程中，出现多家投标人用同一品牌同一型号产品参加投标的情况，由评标委员会按照以下原则现场确认一家投标人作为有效的投标人：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a.若不同投标人对同一品牌同一型号产品技术指标(参数)描述不一致的，应确定投标产品技术指标(参数)的真实性和唯一性，以符合技术指标(参数)真实性和唯一性的投标人参与下一阶段的评审。</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若不同投标人对同一品牌同一型号产品技术指标(参数)描述一致的，由评标委员会评议确认，符合资格要求和技术商务符合性要求且投标报价最低者为有效投标人。最低报价相同的情况下，由评标委员会按资格标准高低、商务服务优劣、技术指标响应情况顺序择优确定。</w:t>
            </w:r>
          </w:p>
        </w:tc>
      </w:tr>
    </w:tbl>
    <w:p>
      <w:pPr>
        <w:spacing w:line="440" w:lineRule="exact"/>
        <w:ind w:firstLine="241" w:firstLineChars="100"/>
        <w:rPr>
          <w:rFonts w:hint="eastAsia" w:ascii="宋体" w:hAnsi="宋体" w:cs="宋体"/>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eastAsia="zh-CN"/>
          <w14:textFill>
            <w14:solidFill>
              <w14:schemeClr w14:val="tx1"/>
            </w14:solidFill>
          </w14:textFill>
        </w:rPr>
        <w:t>一</w:t>
      </w:r>
      <w:r>
        <w:rPr>
          <w:rFonts w:hint="eastAsia" w:ascii="宋体" w:hAnsi="宋体" w:cs="宋体"/>
          <w:b/>
          <w:color w:val="000000" w:themeColor="text1"/>
          <w:sz w:val="28"/>
          <w14:textFill>
            <w14:solidFill>
              <w14:schemeClr w14:val="tx1"/>
            </w14:solidFill>
          </w14:textFill>
        </w:rPr>
        <w:t>：</w:t>
      </w:r>
      <w:r>
        <w:rPr>
          <w:rFonts w:hint="eastAsia"/>
          <w:b/>
          <w:color w:val="000000" w:themeColor="text1"/>
          <w:sz w:val="24"/>
          <w:szCs w:val="24"/>
          <w14:textFill>
            <w14:solidFill>
              <w14:schemeClr w14:val="tx1"/>
            </w14:solidFill>
          </w14:textFill>
        </w:rPr>
        <w:t>本次招标评标办法以综合评分法进行，按照闽财购〔</w:t>
      </w:r>
      <w:r>
        <w:rPr>
          <w:b/>
          <w:color w:val="000000" w:themeColor="text1"/>
          <w:sz w:val="24"/>
          <w:szCs w:val="24"/>
          <w14:textFill>
            <w14:solidFill>
              <w14:schemeClr w14:val="tx1"/>
            </w14:solidFill>
          </w14:textFill>
        </w:rPr>
        <w:t>2010</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28</w:t>
      </w:r>
      <w:r>
        <w:rPr>
          <w:rFonts w:hint="eastAsia"/>
          <w:b/>
          <w:color w:val="000000" w:themeColor="text1"/>
          <w:sz w:val="24"/>
          <w:szCs w:val="24"/>
          <w14:textFill>
            <w14:solidFill>
              <w14:schemeClr w14:val="tx1"/>
            </w14:solidFill>
          </w14:textFill>
        </w:rPr>
        <w:t>号文件规定，若投标人技术部分的实际得分少于招标文件设定的技术部分总分</w:t>
      </w:r>
      <w:r>
        <w:rPr>
          <w:b/>
          <w:color w:val="000000" w:themeColor="text1"/>
          <w:sz w:val="24"/>
          <w:szCs w:val="24"/>
          <w14:textFill>
            <w14:solidFill>
              <w14:schemeClr w14:val="tx1"/>
            </w14:solidFill>
          </w14:textFill>
        </w:rPr>
        <w:t>50%</w:t>
      </w:r>
      <w:r>
        <w:rPr>
          <w:rFonts w:hint="eastAsia"/>
          <w:b/>
          <w:color w:val="000000" w:themeColor="text1"/>
          <w:sz w:val="24"/>
          <w:szCs w:val="24"/>
          <w14:textFill>
            <w14:solidFill>
              <w14:schemeClr w14:val="tx1"/>
            </w14:solidFill>
          </w14:textFill>
        </w:rPr>
        <w:t>的，作为无效标处理。</w:t>
      </w:r>
      <w:r>
        <w:rPr>
          <w:rFonts w:hint="eastAsia" w:ascii="宋体" w:hAnsi="宋体" w:cs="宋体"/>
          <w:b/>
          <w:color w:val="000000" w:themeColor="text1"/>
          <w:kern w:val="0"/>
          <w:sz w:val="24"/>
          <w:szCs w:val="24"/>
          <w14:textFill>
            <w14:solidFill>
              <w14:schemeClr w14:val="tx1"/>
            </w14:solidFill>
          </w14:textFill>
        </w:rPr>
        <w:t>由评标委员会评议确认符合资格要求和技术商务符合性</w:t>
      </w:r>
      <w:r>
        <w:rPr>
          <w:rFonts w:hint="eastAsia" w:hAnsi="宋体" w:cs="宋体"/>
          <w:b/>
          <w:color w:val="000000" w:themeColor="text1"/>
          <w:kern w:val="0"/>
          <w:sz w:val="24"/>
          <w:szCs w:val="24"/>
          <w14:textFill>
            <w14:solidFill>
              <w14:schemeClr w14:val="tx1"/>
            </w14:solidFill>
          </w14:textFill>
        </w:rPr>
        <w:t>要求，</w:t>
      </w:r>
      <w:r>
        <w:rPr>
          <w:rFonts w:hint="eastAsia" w:hAnsi="宋体"/>
          <w:b/>
          <w:color w:val="000000" w:themeColor="text1"/>
          <w:sz w:val="24"/>
          <w:szCs w:val="24"/>
          <w14:textFill>
            <w14:solidFill>
              <w14:schemeClr w14:val="tx1"/>
            </w14:solidFill>
          </w14:textFill>
        </w:rPr>
        <w:t>将按照“质量、服务及价格兼顾”的原则，评标委员会分别对技术和商务部分二个方面进行打分，</w:t>
      </w:r>
      <w:r>
        <w:rPr>
          <w:rFonts w:hint="eastAsia"/>
          <w:b/>
          <w:color w:val="000000" w:themeColor="text1"/>
          <w:sz w:val="24"/>
          <w14:textFill>
            <w14:solidFill>
              <w14:schemeClr w14:val="tx1"/>
            </w14:solidFill>
          </w14:textFill>
        </w:rPr>
        <w:t>对以下技术部分、商务部分评分结果统计时，将去掉一个最高分与一个最低分后再行算术平均计算各有效投标人的技术、商务最终得分，</w:t>
      </w:r>
      <w:r>
        <w:rPr>
          <w:rFonts w:hint="eastAsia" w:ascii="宋体" w:hAnsi="宋体" w:cs="宋体"/>
          <w:b/>
          <w:color w:val="000000" w:themeColor="text1"/>
          <w:kern w:val="0"/>
          <w:sz w:val="24"/>
          <w:szCs w:val="24"/>
          <w14:textFill>
            <w14:solidFill>
              <w14:schemeClr w14:val="tx1"/>
            </w14:solidFill>
          </w14:textFill>
        </w:rPr>
        <w:t>最终根据各部分分数汇总综合得分高低顺序推荐一名中标候选人，若有综合得分相同的，则按报价优惠顺序推荐中标候选人，若综合得分和报价均相同的，则按服务质量得分高低顺序推荐中标候选人。不能保证最低价的投标人为中标候选人。</w:t>
      </w:r>
    </w:p>
    <w:p>
      <w:pPr>
        <w:numPr>
          <w:ilvl w:val="0"/>
          <w:numId w:val="3"/>
        </w:numPr>
        <w:spacing w:line="400" w:lineRule="exact"/>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投标报价</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30分）</w:t>
      </w:r>
    </w:p>
    <w:p>
      <w:pPr>
        <w:numPr>
          <w:ilvl w:val="0"/>
          <w:numId w:val="0"/>
        </w:numPr>
        <w:spacing w:line="40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在有效报价中，以最低投标报价为基准价，其价格分为满分。其他报价分统一按下列公式计算得分：投标报价得分</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评标基准价／投标报价</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×价格权值（</w:t>
      </w:r>
      <w:r>
        <w:rPr>
          <w:rFonts w:hint="eastAsia" w:ascii="宋体" w:hAnsi="宋体"/>
          <w:color w:val="000000" w:themeColor="text1"/>
          <w:sz w:val="24"/>
          <w:szCs w:val="24"/>
          <w:lang w:val="en-US" w:eastAsia="zh-CN"/>
          <w14:textFill>
            <w14:solidFill>
              <w14:schemeClr w14:val="tx1"/>
            </w14:solidFill>
          </w14:textFill>
        </w:rPr>
        <w:t>30</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100</w:t>
      </w:r>
      <w:r>
        <w:rPr>
          <w:rFonts w:hint="eastAsia" w:ascii="宋体" w:hAnsi="宋体"/>
          <w:color w:val="000000" w:themeColor="text1"/>
          <w:sz w:val="24"/>
          <w:szCs w:val="24"/>
          <w14:textFill>
            <w14:solidFill>
              <w14:schemeClr w14:val="tx1"/>
            </w14:solidFill>
          </w14:textFill>
        </w:rPr>
        <w:t>（四舍五入后保留小数点后两位）。</w:t>
      </w:r>
    </w:p>
    <w:p>
      <w:pPr>
        <w:widowControl/>
        <w:spacing w:line="390" w:lineRule="exact"/>
        <w:rPr>
          <w:rFonts w:hint="default" w:ascii="宋体" w:hAnsi="宋体"/>
          <w:b/>
          <w:color w:val="000000" w:themeColor="text1"/>
          <w:sz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、技术因素</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满分55分）</w:t>
      </w:r>
    </w:p>
    <w:tbl>
      <w:tblPr>
        <w:tblStyle w:val="29"/>
        <w:tblpPr w:leftFromText="180" w:rightFromText="180" w:vertAnchor="text" w:horzAnchor="page" w:tblpX="915" w:tblpY="428"/>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88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20" w:type="dxa"/>
            <w:vAlign w:val="center"/>
          </w:tcPr>
          <w:p>
            <w:pPr>
              <w:adjustRightInd w:val="0"/>
              <w:snapToGrid w:val="0"/>
              <w:spacing w:line="3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7888" w:type="dxa"/>
            <w:vAlign w:val="center"/>
          </w:tcPr>
          <w:p>
            <w:pPr>
              <w:adjustRightInd w:val="0"/>
              <w:snapToGrid w:val="0"/>
              <w:spacing w:line="3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评分标准</w:t>
            </w:r>
          </w:p>
        </w:tc>
        <w:tc>
          <w:tcPr>
            <w:tcW w:w="937" w:type="dxa"/>
            <w:vAlign w:val="center"/>
          </w:tcPr>
          <w:p>
            <w:pPr>
              <w:adjustRightInd w:val="0"/>
              <w:snapToGrid w:val="0"/>
              <w:spacing w:line="3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620" w:type="dxa"/>
            <w:vAlign w:val="center"/>
          </w:tcPr>
          <w:p>
            <w:pPr>
              <w:adjustRightInd w:val="0"/>
              <w:snapToGrid w:val="0"/>
              <w:spacing w:line="34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w:t>
            </w:r>
          </w:p>
        </w:tc>
        <w:tc>
          <w:tcPr>
            <w:tcW w:w="7888" w:type="dxa"/>
            <w:vAlign w:val="top"/>
          </w:tcPr>
          <w:p>
            <w:pPr>
              <w:spacing w:line="460" w:lineRule="exac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根据投标人提供的</w:t>
            </w:r>
            <w:r>
              <w:rPr>
                <w:rFonts w:hint="eastAsia" w:ascii="宋体" w:hAnsi="宋体"/>
                <w:color w:val="000000" w:themeColor="text1"/>
                <w:kern w:val="0"/>
                <w:sz w:val="24"/>
                <w:szCs w:val="24"/>
                <w:lang w:eastAsia="zh-CN"/>
                <w14:textFill>
                  <w14:solidFill>
                    <w14:schemeClr w14:val="tx1"/>
                  </w14:solidFill>
                </w14:textFill>
              </w:rPr>
              <w:t>智能平移门</w:t>
            </w:r>
            <w:r>
              <w:rPr>
                <w:rFonts w:hint="eastAsia" w:ascii="宋体" w:hAnsi="宋体"/>
                <w:color w:val="000000" w:themeColor="text1"/>
                <w:kern w:val="0"/>
                <w:sz w:val="24"/>
                <w:szCs w:val="24"/>
                <w14:textFill>
                  <w14:solidFill>
                    <w14:schemeClr w14:val="tx1"/>
                  </w14:solidFill>
                </w14:textFill>
              </w:rPr>
              <w:t>技术性能、技术参数、原厂技术彩页、使用手册等进行评分，</w:t>
            </w:r>
            <w:r>
              <w:rPr>
                <w:rFonts w:hint="eastAsia" w:ascii="宋体" w:hAnsi="宋体"/>
                <w:color w:val="000000" w:themeColor="text1"/>
                <w:sz w:val="24"/>
                <w14:textFill>
                  <w14:solidFill>
                    <w14:schemeClr w14:val="tx1"/>
                  </w14:solidFill>
                </w14:textFill>
              </w:rPr>
              <w:t>全部符合采购文件要求的得</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分，投标人所报产品未提供技术彩页的扣1分，技术性能及技术参数低于文件要求的一项不满足扣1分，扣完为止。</w:t>
            </w:r>
          </w:p>
        </w:tc>
        <w:tc>
          <w:tcPr>
            <w:tcW w:w="937" w:type="dxa"/>
            <w:vAlign w:val="center"/>
          </w:tcPr>
          <w:p>
            <w:pPr>
              <w:jc w:val="center"/>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620" w:type="dxa"/>
            <w:vAlign w:val="center"/>
          </w:tcPr>
          <w:p>
            <w:pPr>
              <w:adjustRightInd w:val="0"/>
              <w:snapToGrid w:val="0"/>
              <w:spacing w:line="34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p>
        </w:tc>
        <w:tc>
          <w:tcPr>
            <w:tcW w:w="7888" w:type="dxa"/>
            <w:vAlign w:val="top"/>
          </w:tcPr>
          <w:p>
            <w:pPr>
              <w:spacing w:line="460" w:lineRule="exac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根据投标人提供的</w:t>
            </w:r>
            <w:r>
              <w:rPr>
                <w:rFonts w:hint="eastAsia" w:ascii="宋体" w:hAnsi="宋体"/>
                <w:color w:val="000000" w:themeColor="text1"/>
                <w:kern w:val="0"/>
                <w:sz w:val="24"/>
                <w:szCs w:val="24"/>
                <w:lang w:eastAsia="zh-CN"/>
                <w14:textFill>
                  <w14:solidFill>
                    <w14:schemeClr w14:val="tx1"/>
                  </w14:solidFill>
                </w14:textFill>
              </w:rPr>
              <w:t>智能平移门</w:t>
            </w:r>
            <w:r>
              <w:rPr>
                <w:rFonts w:hint="eastAsia" w:ascii="宋体" w:hAnsi="宋体"/>
                <w:color w:val="000000" w:themeColor="text1"/>
                <w:kern w:val="0"/>
                <w:sz w:val="24"/>
                <w:szCs w:val="24"/>
                <w14:textFill>
                  <w14:solidFill>
                    <w14:schemeClr w14:val="tx1"/>
                  </w14:solidFill>
                </w14:textFill>
              </w:rPr>
              <w:t>配置的红外线防碰及缓冲装置</w:t>
            </w:r>
            <w:r>
              <w:rPr>
                <w:rFonts w:hint="eastAsia" w:ascii="宋体" w:hAnsi="宋体"/>
                <w:color w:val="000000" w:themeColor="text1"/>
                <w:sz w:val="24"/>
                <w14:textFill>
                  <w14:solidFill>
                    <w14:schemeClr w14:val="tx1"/>
                  </w14:solidFill>
                </w14:textFill>
              </w:rPr>
              <w:t>品牌、质量由评委进行评分，优</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lang w:val="en-US" w:eastAsia="zh-CN"/>
                <w14:textFill>
                  <w14:solidFill>
                    <w14:schemeClr w14:val="tx1"/>
                  </w14:solidFill>
                </w14:textFill>
              </w:rPr>
              <w:t>良2</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lang w:val="en-US" w:eastAsia="zh-CN"/>
                <w14:textFill>
                  <w14:solidFill>
                    <w14:schemeClr w14:val="tx1"/>
                  </w14:solidFill>
                </w14:textFill>
              </w:rPr>
              <w:t>一般</w:t>
            </w:r>
            <w:r>
              <w:rPr>
                <w:rFonts w:hint="eastAsia" w:ascii="宋体" w:hAnsi="宋体"/>
                <w:color w:val="000000" w:themeColor="text1"/>
                <w:sz w:val="24"/>
                <w14:textFill>
                  <w14:solidFill>
                    <w14:schemeClr w14:val="tx1"/>
                  </w14:solidFill>
                </w14:textFill>
              </w:rPr>
              <w:t>的得</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w:t>
            </w:r>
          </w:p>
        </w:tc>
        <w:tc>
          <w:tcPr>
            <w:tcW w:w="937" w:type="dxa"/>
            <w:vAlign w:val="center"/>
          </w:tcPr>
          <w:p>
            <w:pPr>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20" w:type="dxa"/>
            <w:vAlign w:val="center"/>
          </w:tcPr>
          <w:p>
            <w:pPr>
              <w:adjustRightInd w:val="0"/>
              <w:snapToGrid w:val="0"/>
              <w:spacing w:line="340" w:lineRule="exact"/>
              <w:jc w:val="center"/>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3</w:t>
            </w:r>
          </w:p>
        </w:tc>
        <w:tc>
          <w:tcPr>
            <w:tcW w:w="7888" w:type="dxa"/>
            <w:vAlign w:val="center"/>
          </w:tcPr>
          <w:p>
            <w:pPr>
              <w:pStyle w:val="4"/>
              <w:spacing w:line="380" w:lineRule="exact"/>
              <w:ind w:firstLine="0"/>
              <w:rPr>
                <w:rFonts w:ascii="宋体" w:hAnsi="宋体"/>
                <w:color w:val="000000" w:themeColor="text1"/>
                <w:kern w:val="2"/>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投标人提供的电动</w:t>
            </w:r>
            <w:r>
              <w:rPr>
                <w:rFonts w:hint="eastAsia" w:ascii="宋体" w:hAnsi="宋体"/>
                <w:color w:val="000000" w:themeColor="text1"/>
                <w:sz w:val="24"/>
                <w:szCs w:val="24"/>
                <w:lang w:eastAsia="zh-CN"/>
                <w14:textFill>
                  <w14:solidFill>
                    <w14:schemeClr w14:val="tx1"/>
                  </w14:solidFill>
                </w14:textFill>
              </w:rPr>
              <w:t>智能平移门</w:t>
            </w:r>
            <w:r>
              <w:rPr>
                <w:rFonts w:hint="eastAsia" w:ascii="宋体" w:hAnsi="宋体"/>
                <w:color w:val="000000" w:themeColor="text1"/>
                <w:sz w:val="24"/>
                <w:szCs w:val="24"/>
                <w14:textFill>
                  <w14:solidFill>
                    <w14:schemeClr w14:val="tx1"/>
                  </w14:solidFill>
                </w14:textFill>
              </w:rPr>
              <w:t>通过权威机构提供的检验报告的得3分（提供权威机构出具的有效证明材料复印件，加盖投标人公章，否则不予认可）。</w:t>
            </w:r>
          </w:p>
        </w:tc>
        <w:tc>
          <w:tcPr>
            <w:tcW w:w="937" w:type="dxa"/>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20" w:type="dxa"/>
            <w:vMerge w:val="restart"/>
            <w:vAlign w:val="center"/>
          </w:tcPr>
          <w:p>
            <w:pPr>
              <w:adjustRightInd w:val="0"/>
              <w:snapToGrid w:val="0"/>
              <w:spacing w:line="340" w:lineRule="exact"/>
              <w:jc w:val="center"/>
              <w:rPr>
                <w:rFonts w:hint="eastAsia" w:ascii="宋体" w:hAnsi="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2-4</w:t>
            </w:r>
          </w:p>
        </w:tc>
        <w:tc>
          <w:tcPr>
            <w:tcW w:w="8825" w:type="dxa"/>
            <w:gridSpan w:val="2"/>
            <w:vAlign w:val="center"/>
          </w:tcPr>
          <w:p>
            <w:pPr>
              <w:spacing w:line="380" w:lineRule="exact"/>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根据投标人现场提供的</w:t>
            </w:r>
            <w:r>
              <w:rPr>
                <w:rFonts w:ascii="宋体" w:hAnsi="宋体" w:eastAsia="宋体" w:cs="宋体"/>
                <w:color w:val="000000" w:themeColor="text1"/>
                <w:kern w:val="0"/>
                <w:sz w:val="24"/>
                <w:szCs w:val="24"/>
                <w:lang w:val="en-US" w:eastAsia="zh-CN" w:bidi="ar"/>
                <w14:textFill>
                  <w14:solidFill>
                    <w14:schemeClr w14:val="tx1"/>
                  </w14:solidFill>
                </w14:textFill>
              </w:rPr>
              <w:t>样品</w:t>
            </w:r>
            <w:r>
              <w:rPr>
                <w:rFonts w:hint="eastAsia" w:ascii="宋体" w:hAnsi="宋体" w:cs="宋体"/>
                <w:color w:val="000000" w:themeColor="text1"/>
                <w:kern w:val="0"/>
                <w:sz w:val="24"/>
                <w:szCs w:val="24"/>
                <w:lang w:val="en-US" w:eastAsia="zh-CN" w:bidi="ar"/>
                <w14:textFill>
                  <w14:solidFill>
                    <w14:schemeClr w14:val="tx1"/>
                  </w14:solidFill>
                </w14:textFill>
              </w:rPr>
              <w:t>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20" w:type="dxa"/>
            <w:vMerge w:val="continue"/>
            <w:vAlign w:val="center"/>
          </w:tcPr>
          <w:p>
            <w:pPr>
              <w:adjustRightInd w:val="0"/>
              <w:snapToGrid w:val="0"/>
              <w:spacing w:line="340" w:lineRule="exact"/>
              <w:jc w:val="center"/>
              <w:rPr>
                <w:rFonts w:hint="eastAsia" w:ascii="宋体" w:hAnsi="宋体"/>
                <w:color w:val="000000" w:themeColor="text1"/>
                <w:kern w:val="0"/>
                <w:sz w:val="24"/>
                <w:szCs w:val="24"/>
                <w:lang w:val="en-US" w:eastAsia="zh-CN"/>
                <w14:textFill>
                  <w14:solidFill>
                    <w14:schemeClr w14:val="tx1"/>
                  </w14:solidFill>
                </w14:textFill>
              </w:rPr>
            </w:pPr>
          </w:p>
        </w:tc>
        <w:tc>
          <w:tcPr>
            <w:tcW w:w="7888" w:type="dxa"/>
            <w:vAlign w:val="center"/>
          </w:tcPr>
          <w:p>
            <w:pPr>
              <w:pStyle w:val="4"/>
              <w:spacing w:line="380" w:lineRule="exact"/>
              <w:ind w:firstLine="0"/>
              <w:rPr>
                <w:rFonts w:hint="eastAsia" w:ascii="宋体" w:hAnsi="宋体"/>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根据各投标人提供样品的用材质量情况、样本品质优劣情况由评委进行横向对比在0-3分之间进行打分。</w:t>
            </w:r>
          </w:p>
        </w:tc>
        <w:tc>
          <w:tcPr>
            <w:tcW w:w="937" w:type="dxa"/>
            <w:vAlign w:val="center"/>
          </w:tcPr>
          <w:p>
            <w:pPr>
              <w:spacing w:line="380" w:lineRule="exact"/>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20" w:type="dxa"/>
            <w:vMerge w:val="continue"/>
            <w:vAlign w:val="center"/>
          </w:tcPr>
          <w:p>
            <w:pPr>
              <w:adjustRightInd w:val="0"/>
              <w:snapToGrid w:val="0"/>
              <w:spacing w:line="340" w:lineRule="exact"/>
              <w:jc w:val="center"/>
              <w:rPr>
                <w:rFonts w:hint="eastAsia" w:ascii="宋体" w:hAnsi="宋体"/>
                <w:color w:val="000000" w:themeColor="text1"/>
                <w:kern w:val="0"/>
                <w:sz w:val="24"/>
                <w:szCs w:val="24"/>
                <w:lang w:val="en-US" w:eastAsia="zh-CN"/>
                <w14:textFill>
                  <w14:solidFill>
                    <w14:schemeClr w14:val="tx1"/>
                  </w14:solidFill>
                </w14:textFill>
              </w:rPr>
            </w:pPr>
          </w:p>
        </w:tc>
        <w:tc>
          <w:tcPr>
            <w:tcW w:w="7888" w:type="dxa"/>
            <w:vAlign w:val="center"/>
          </w:tcPr>
          <w:p>
            <w:pPr>
              <w:pStyle w:val="4"/>
              <w:spacing w:line="380" w:lineRule="exact"/>
              <w:ind w:firstLine="0"/>
              <w:rPr>
                <w:rFonts w:hint="eastAsia" w:ascii="宋体" w:hAnsi="宋体"/>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根据各投标人提供样品的整体造型外观等由评委进行横向对比在0-3分之间进行打分。</w:t>
            </w:r>
          </w:p>
        </w:tc>
        <w:tc>
          <w:tcPr>
            <w:tcW w:w="937" w:type="dxa"/>
            <w:vAlign w:val="center"/>
          </w:tcPr>
          <w:p>
            <w:pPr>
              <w:spacing w:line="380" w:lineRule="exact"/>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620" w:type="dxa"/>
            <w:vMerge w:val="restart"/>
            <w:vAlign w:val="center"/>
          </w:tcPr>
          <w:p>
            <w:pPr>
              <w:adjustRightInd w:val="0"/>
              <w:snapToGrid w:val="0"/>
              <w:spacing w:line="340" w:lineRule="exact"/>
              <w:jc w:val="center"/>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5</w:t>
            </w:r>
          </w:p>
        </w:tc>
        <w:tc>
          <w:tcPr>
            <w:tcW w:w="8825" w:type="dxa"/>
            <w:gridSpan w:val="2"/>
            <w:vAlign w:val="top"/>
          </w:tcPr>
          <w:p>
            <w:pPr>
              <w:jc w:val="left"/>
              <w:rPr>
                <w:rFonts w:hint="eastAsia" w:ascii="宋体" w:hAnsi="宋体"/>
                <w:color w:val="000000" w:themeColor="text1"/>
                <w:kern w:val="10"/>
                <w:sz w:val="24"/>
                <w14:textFill>
                  <w14:solidFill>
                    <w14:schemeClr w14:val="tx1"/>
                  </w14:solidFill>
                </w14:textFill>
              </w:rPr>
            </w:pPr>
            <w:r>
              <w:rPr>
                <w:rFonts w:ascii="宋体" w:hAnsi="宋体"/>
                <w:color w:val="000000" w:themeColor="text1"/>
                <w:kern w:val="2"/>
                <w:sz w:val="24"/>
                <w:szCs w:val="21"/>
                <w14:textFill>
                  <w14:solidFill>
                    <w14:schemeClr w14:val="tx1"/>
                  </w14:solidFill>
                </w14:textFill>
              </w:rPr>
              <w:t>投标人</w:t>
            </w:r>
            <w:r>
              <w:rPr>
                <w:rFonts w:hint="eastAsia" w:ascii="宋体" w:hAnsi="宋体"/>
                <w:color w:val="000000" w:themeColor="text1"/>
                <w:kern w:val="2"/>
                <w:sz w:val="24"/>
                <w:szCs w:val="21"/>
                <w14:textFill>
                  <w14:solidFill>
                    <w14:schemeClr w14:val="tx1"/>
                  </w14:solidFill>
                </w14:textFill>
              </w:rPr>
              <w:t>根据设备安装现场的实际状况，出具具体的设计图纸及安装方案</w:t>
            </w:r>
            <w:r>
              <w:rPr>
                <w:rFonts w:ascii="宋体" w:hAnsi="宋体"/>
                <w:color w:val="000000" w:themeColor="text1"/>
                <w:kern w:val="2"/>
                <w:sz w:val="24"/>
                <w:szCs w:val="21"/>
                <w14:textFill>
                  <w14:solidFill>
                    <w14:schemeClr w14:val="tx1"/>
                  </w14:solidFill>
                </w14:textFill>
              </w:rPr>
              <w:t>，由评标委员会根据以下内容对投标文件酌情考评: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0" w:type="dxa"/>
            <w:vMerge w:val="continue"/>
            <w:vAlign w:val="center"/>
          </w:tcPr>
          <w:p>
            <w:pPr>
              <w:pStyle w:val="4"/>
              <w:tabs>
                <w:tab w:val="left" w:pos="900"/>
              </w:tabs>
              <w:adjustRightInd w:val="0"/>
              <w:snapToGrid w:val="0"/>
              <w:spacing w:line="460" w:lineRule="exact"/>
              <w:ind w:firstLine="0"/>
              <w:rPr>
                <w:color w:val="000000" w:themeColor="text1"/>
                <w14:textFill>
                  <w14:solidFill>
                    <w14:schemeClr w14:val="tx1"/>
                  </w14:solidFill>
                </w14:textFill>
              </w:rPr>
            </w:pPr>
          </w:p>
        </w:tc>
        <w:tc>
          <w:tcPr>
            <w:tcW w:w="7888" w:type="dxa"/>
            <w:vAlign w:val="top"/>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ascii="宋体" w:hAnsi="宋体"/>
                <w:color w:val="000000" w:themeColor="text1"/>
                <w:kern w:val="2"/>
                <w:sz w:val="24"/>
                <w:szCs w:val="21"/>
                <w14:textFill>
                  <w14:solidFill>
                    <w14:schemeClr w14:val="tx1"/>
                  </w14:solidFill>
                </w14:textFill>
              </w:rPr>
              <w:t xml:space="preserve"> (1)总体供货、施工、安装方案(</w:t>
            </w:r>
            <w:r>
              <w:rPr>
                <w:rFonts w:hint="eastAsia" w:ascii="宋体" w:hAnsi="宋体"/>
                <w:color w:val="000000" w:themeColor="text1"/>
                <w:kern w:val="2"/>
                <w:sz w:val="24"/>
                <w:szCs w:val="21"/>
                <w:lang w:val="en-US" w:eastAsia="zh-CN"/>
                <w14:textFill>
                  <w14:solidFill>
                    <w14:schemeClr w14:val="tx1"/>
                  </w14:solidFill>
                </w14:textFill>
              </w:rPr>
              <w:t>2</w:t>
            </w:r>
            <w:r>
              <w:rPr>
                <w:rFonts w:ascii="宋体" w:hAnsi="宋体"/>
                <w:color w:val="000000" w:themeColor="text1"/>
                <w:kern w:val="2"/>
                <w:sz w:val="24"/>
                <w:szCs w:val="21"/>
                <w14:textFill>
                  <w14:solidFill>
                    <w14:schemeClr w14:val="tx1"/>
                  </w14:solidFill>
                </w14:textFill>
              </w:rPr>
              <w:t>分)；</w:t>
            </w:r>
          </w:p>
        </w:tc>
        <w:tc>
          <w:tcPr>
            <w:tcW w:w="937" w:type="dxa"/>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20" w:type="dxa"/>
            <w:vMerge w:val="continue"/>
            <w:vAlign w:val="center"/>
          </w:tcPr>
          <w:p>
            <w:pPr>
              <w:pStyle w:val="4"/>
              <w:tabs>
                <w:tab w:val="left" w:pos="900"/>
              </w:tabs>
              <w:adjustRightInd w:val="0"/>
              <w:snapToGrid w:val="0"/>
              <w:spacing w:line="460" w:lineRule="exact"/>
              <w:ind w:firstLine="0"/>
              <w:rPr>
                <w:color w:val="000000" w:themeColor="text1"/>
                <w14:textFill>
                  <w14:solidFill>
                    <w14:schemeClr w14:val="tx1"/>
                  </w14:solidFill>
                </w14:textFill>
              </w:rPr>
            </w:pPr>
          </w:p>
        </w:tc>
        <w:tc>
          <w:tcPr>
            <w:tcW w:w="7888" w:type="dxa"/>
            <w:vAlign w:val="top"/>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ascii="宋体" w:hAnsi="宋体"/>
                <w:color w:val="000000" w:themeColor="text1"/>
                <w:kern w:val="2"/>
                <w:sz w:val="24"/>
                <w:szCs w:val="21"/>
                <w14:textFill>
                  <w14:solidFill>
                    <w14:schemeClr w14:val="tx1"/>
                  </w14:solidFill>
                </w14:textFill>
              </w:rPr>
              <w:t>（2)工期、施工进度计划安排(</w:t>
            </w:r>
            <w:r>
              <w:rPr>
                <w:rFonts w:hint="eastAsia" w:ascii="宋体" w:hAnsi="宋体"/>
                <w:color w:val="000000" w:themeColor="text1"/>
                <w:kern w:val="2"/>
                <w:sz w:val="24"/>
                <w:szCs w:val="21"/>
                <w14:textFill>
                  <w14:solidFill>
                    <w14:schemeClr w14:val="tx1"/>
                  </w14:solidFill>
                </w14:textFill>
              </w:rPr>
              <w:t>2</w:t>
            </w:r>
            <w:r>
              <w:rPr>
                <w:rFonts w:ascii="宋体" w:hAnsi="宋体"/>
                <w:color w:val="000000" w:themeColor="text1"/>
                <w:kern w:val="2"/>
                <w:sz w:val="24"/>
                <w:szCs w:val="21"/>
                <w14:textFill>
                  <w14:solidFill>
                    <w14:schemeClr w14:val="tx1"/>
                  </w14:solidFill>
                </w14:textFill>
              </w:rPr>
              <w:t>分)；</w:t>
            </w:r>
          </w:p>
        </w:tc>
        <w:tc>
          <w:tcPr>
            <w:tcW w:w="937" w:type="dxa"/>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20" w:type="dxa"/>
            <w:vMerge w:val="continue"/>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p>
        </w:tc>
        <w:tc>
          <w:tcPr>
            <w:tcW w:w="7888" w:type="dxa"/>
            <w:vAlign w:val="top"/>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ascii="宋体" w:hAnsi="宋体"/>
                <w:color w:val="000000" w:themeColor="text1"/>
                <w:kern w:val="2"/>
                <w:sz w:val="24"/>
                <w:szCs w:val="21"/>
                <w14:textFill>
                  <w14:solidFill>
                    <w14:schemeClr w14:val="tx1"/>
                  </w14:solidFill>
                </w14:textFill>
              </w:rPr>
              <w:t>(3)现场设计图纸及平面布置图(</w:t>
            </w:r>
            <w:r>
              <w:rPr>
                <w:rFonts w:hint="eastAsia" w:ascii="宋体" w:hAnsi="宋体"/>
                <w:color w:val="000000" w:themeColor="text1"/>
                <w:kern w:val="2"/>
                <w:sz w:val="24"/>
                <w:szCs w:val="21"/>
                <w:lang w:val="en-US" w:eastAsia="zh-CN"/>
                <w14:textFill>
                  <w14:solidFill>
                    <w14:schemeClr w14:val="tx1"/>
                  </w14:solidFill>
                </w14:textFill>
              </w:rPr>
              <w:t>3</w:t>
            </w:r>
            <w:r>
              <w:rPr>
                <w:rFonts w:ascii="宋体" w:hAnsi="宋体"/>
                <w:color w:val="000000" w:themeColor="text1"/>
                <w:kern w:val="2"/>
                <w:sz w:val="24"/>
                <w:szCs w:val="21"/>
                <w14:textFill>
                  <w14:solidFill>
                    <w14:schemeClr w14:val="tx1"/>
                  </w14:solidFill>
                </w14:textFill>
              </w:rPr>
              <w:t>分)</w:t>
            </w:r>
            <w:r>
              <w:rPr>
                <w:rFonts w:hint="eastAsia" w:ascii="宋体" w:hAnsi="宋体"/>
                <w:color w:val="000000" w:themeColor="text1"/>
                <w:kern w:val="2"/>
                <w:sz w:val="24"/>
                <w:szCs w:val="21"/>
                <w:lang w:eastAsia="zh-CN"/>
                <w14:textFill>
                  <w14:solidFill>
                    <w14:schemeClr w14:val="tx1"/>
                  </w14:solidFill>
                </w14:textFill>
              </w:rPr>
              <w:t>；</w:t>
            </w:r>
          </w:p>
        </w:tc>
        <w:tc>
          <w:tcPr>
            <w:tcW w:w="937" w:type="dxa"/>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20" w:type="dxa"/>
            <w:vMerge w:val="continue"/>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p>
        </w:tc>
        <w:tc>
          <w:tcPr>
            <w:tcW w:w="7888" w:type="dxa"/>
            <w:vAlign w:val="top"/>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ascii="宋体" w:hAnsi="宋体"/>
                <w:color w:val="000000" w:themeColor="text1"/>
                <w:kern w:val="2"/>
                <w:sz w:val="24"/>
                <w:szCs w:val="21"/>
                <w14:textFill>
                  <w14:solidFill>
                    <w14:schemeClr w14:val="tx1"/>
                  </w14:solidFill>
                </w14:textFill>
              </w:rPr>
              <w:t>(</w:t>
            </w:r>
            <w:r>
              <w:rPr>
                <w:rFonts w:hint="eastAsia" w:ascii="宋体" w:hAnsi="宋体"/>
                <w:color w:val="000000" w:themeColor="text1"/>
                <w:kern w:val="2"/>
                <w:sz w:val="24"/>
                <w:szCs w:val="21"/>
                <w14:textFill>
                  <w14:solidFill>
                    <w14:schemeClr w14:val="tx1"/>
                  </w14:solidFill>
                </w14:textFill>
              </w:rPr>
              <w:t>4</w:t>
            </w:r>
            <w:r>
              <w:rPr>
                <w:rFonts w:ascii="宋体" w:hAnsi="宋体"/>
                <w:color w:val="000000" w:themeColor="text1"/>
                <w:kern w:val="2"/>
                <w:sz w:val="24"/>
                <w:szCs w:val="21"/>
                <w14:textFill>
                  <w14:solidFill>
                    <w14:schemeClr w14:val="tx1"/>
                  </w14:solidFill>
                </w14:textFill>
              </w:rPr>
              <w:t>)质量目标、质量保证体系及技术组织措施(</w:t>
            </w:r>
            <w:r>
              <w:rPr>
                <w:rFonts w:hint="eastAsia" w:ascii="宋体" w:hAnsi="宋体"/>
                <w:color w:val="000000" w:themeColor="text1"/>
                <w:kern w:val="2"/>
                <w:sz w:val="24"/>
                <w:szCs w:val="21"/>
                <w:lang w:val="en-US" w:eastAsia="zh-CN"/>
                <w14:textFill>
                  <w14:solidFill>
                    <w14:schemeClr w14:val="tx1"/>
                  </w14:solidFill>
                </w14:textFill>
              </w:rPr>
              <w:t>2</w:t>
            </w:r>
            <w:r>
              <w:rPr>
                <w:rFonts w:ascii="宋体" w:hAnsi="宋体"/>
                <w:color w:val="000000" w:themeColor="text1"/>
                <w:kern w:val="2"/>
                <w:sz w:val="24"/>
                <w:szCs w:val="21"/>
                <w14:textFill>
                  <w14:solidFill>
                    <w14:schemeClr w14:val="tx1"/>
                  </w14:solidFill>
                </w14:textFill>
              </w:rPr>
              <w:t>分)；</w:t>
            </w:r>
          </w:p>
        </w:tc>
        <w:tc>
          <w:tcPr>
            <w:tcW w:w="937" w:type="dxa"/>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20" w:type="dxa"/>
            <w:vMerge w:val="continue"/>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p>
        </w:tc>
        <w:tc>
          <w:tcPr>
            <w:tcW w:w="7888" w:type="dxa"/>
            <w:vAlign w:val="top"/>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ascii="宋体" w:hAnsi="宋体"/>
                <w:color w:val="000000" w:themeColor="text1"/>
                <w:kern w:val="2"/>
                <w:sz w:val="24"/>
                <w:szCs w:val="21"/>
                <w14:textFill>
                  <w14:solidFill>
                    <w14:schemeClr w14:val="tx1"/>
                  </w14:solidFill>
                </w14:textFill>
              </w:rPr>
              <w:t>(</w:t>
            </w:r>
            <w:r>
              <w:rPr>
                <w:rFonts w:hint="eastAsia" w:ascii="宋体" w:hAnsi="宋体"/>
                <w:color w:val="000000" w:themeColor="text1"/>
                <w:kern w:val="2"/>
                <w:sz w:val="24"/>
                <w:szCs w:val="21"/>
                <w14:textFill>
                  <w14:solidFill>
                    <w14:schemeClr w14:val="tx1"/>
                  </w14:solidFill>
                </w14:textFill>
              </w:rPr>
              <w:t>5</w:t>
            </w:r>
            <w:r>
              <w:rPr>
                <w:rFonts w:ascii="宋体" w:hAnsi="宋体"/>
                <w:color w:val="000000" w:themeColor="text1"/>
                <w:kern w:val="2"/>
                <w:sz w:val="24"/>
                <w:szCs w:val="21"/>
                <w14:textFill>
                  <w14:solidFill>
                    <w14:schemeClr w14:val="tx1"/>
                  </w14:solidFill>
                </w14:textFill>
              </w:rPr>
              <w:t>）安全目标、安全保证体系及技术组织措施(</w:t>
            </w:r>
            <w:r>
              <w:rPr>
                <w:rFonts w:hint="eastAsia" w:ascii="宋体" w:hAnsi="宋体"/>
                <w:color w:val="000000" w:themeColor="text1"/>
                <w:kern w:val="2"/>
                <w:sz w:val="24"/>
                <w:szCs w:val="21"/>
                <w:lang w:val="en-US" w:eastAsia="zh-CN"/>
                <w14:textFill>
                  <w14:solidFill>
                    <w14:schemeClr w14:val="tx1"/>
                  </w14:solidFill>
                </w14:textFill>
              </w:rPr>
              <w:t>2</w:t>
            </w:r>
            <w:r>
              <w:rPr>
                <w:rFonts w:ascii="宋体" w:hAnsi="宋体"/>
                <w:color w:val="000000" w:themeColor="text1"/>
                <w:kern w:val="2"/>
                <w:sz w:val="24"/>
                <w:szCs w:val="21"/>
                <w14:textFill>
                  <w14:solidFill>
                    <w14:schemeClr w14:val="tx1"/>
                  </w14:solidFill>
                </w14:textFill>
              </w:rPr>
              <w:t>分)；</w:t>
            </w:r>
          </w:p>
        </w:tc>
        <w:tc>
          <w:tcPr>
            <w:tcW w:w="937" w:type="dxa"/>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20" w:type="dxa"/>
            <w:vMerge w:val="continue"/>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p>
        </w:tc>
        <w:tc>
          <w:tcPr>
            <w:tcW w:w="7888" w:type="dxa"/>
            <w:vAlign w:val="top"/>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ascii="宋体" w:hAnsi="宋体"/>
                <w:color w:val="000000" w:themeColor="text1"/>
                <w:kern w:val="2"/>
                <w:sz w:val="24"/>
                <w:szCs w:val="21"/>
                <w14:textFill>
                  <w14:solidFill>
                    <w14:schemeClr w14:val="tx1"/>
                  </w14:solidFill>
                </w14:textFill>
              </w:rPr>
              <w:t>(</w:t>
            </w:r>
            <w:r>
              <w:rPr>
                <w:rFonts w:hint="eastAsia" w:ascii="宋体" w:hAnsi="宋体"/>
                <w:color w:val="000000" w:themeColor="text1"/>
                <w:kern w:val="2"/>
                <w:sz w:val="24"/>
                <w:szCs w:val="21"/>
                <w14:textFill>
                  <w14:solidFill>
                    <w14:schemeClr w14:val="tx1"/>
                  </w14:solidFill>
                </w14:textFill>
              </w:rPr>
              <w:t>6</w:t>
            </w:r>
            <w:r>
              <w:rPr>
                <w:rFonts w:ascii="宋体" w:hAnsi="宋体"/>
                <w:color w:val="000000" w:themeColor="text1"/>
                <w:kern w:val="2"/>
                <w:sz w:val="24"/>
                <w:szCs w:val="21"/>
                <w14:textFill>
                  <w14:solidFill>
                    <w14:schemeClr w14:val="tx1"/>
                  </w14:solidFill>
                </w14:textFill>
              </w:rPr>
              <w:t>)环境保护及文明施工(</w:t>
            </w:r>
            <w:r>
              <w:rPr>
                <w:rFonts w:hint="eastAsia" w:ascii="宋体" w:hAnsi="宋体"/>
                <w:color w:val="000000" w:themeColor="text1"/>
                <w:kern w:val="2"/>
                <w:sz w:val="24"/>
                <w:szCs w:val="21"/>
                <w:lang w:val="en-US" w:eastAsia="zh-CN"/>
                <w14:textFill>
                  <w14:solidFill>
                    <w14:schemeClr w14:val="tx1"/>
                  </w14:solidFill>
                </w14:textFill>
              </w:rPr>
              <w:t>2</w:t>
            </w:r>
            <w:r>
              <w:rPr>
                <w:rFonts w:ascii="宋体" w:hAnsi="宋体"/>
                <w:color w:val="000000" w:themeColor="text1"/>
                <w:kern w:val="2"/>
                <w:sz w:val="24"/>
                <w:szCs w:val="21"/>
                <w14:textFill>
                  <w14:solidFill>
                    <w14:schemeClr w14:val="tx1"/>
                  </w14:solidFill>
                </w14:textFill>
              </w:rPr>
              <w:t>分)</w:t>
            </w:r>
            <w:r>
              <w:rPr>
                <w:rFonts w:hint="eastAsia" w:ascii="宋体" w:hAnsi="宋体"/>
                <w:color w:val="000000" w:themeColor="text1"/>
                <w:kern w:val="2"/>
                <w:sz w:val="24"/>
                <w:szCs w:val="21"/>
                <w14:textFill>
                  <w14:solidFill>
                    <w14:schemeClr w14:val="tx1"/>
                  </w14:solidFill>
                </w14:textFill>
              </w:rPr>
              <w:t>。</w:t>
            </w:r>
          </w:p>
        </w:tc>
        <w:tc>
          <w:tcPr>
            <w:tcW w:w="937" w:type="dxa"/>
            <w:vAlign w:val="center"/>
          </w:tcPr>
          <w:p>
            <w:pPr>
              <w:pStyle w:val="4"/>
              <w:tabs>
                <w:tab w:val="left" w:pos="900"/>
              </w:tabs>
              <w:adjustRightInd w:val="0"/>
              <w:snapToGrid w:val="0"/>
              <w:spacing w:line="460" w:lineRule="exact"/>
              <w:ind w:firstLine="0"/>
              <w:rPr>
                <w:rFonts w:ascii="宋体" w:hAnsi="宋体"/>
                <w:color w:val="000000" w:themeColor="text1"/>
                <w:kern w:val="2"/>
                <w:sz w:val="24"/>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widowControl/>
        <w:spacing w:line="390" w:lineRule="exact"/>
        <w:rPr>
          <w:rFonts w:hint="eastAsia" w:ascii="宋体" w:hAnsi="宋体"/>
          <w:b/>
          <w:color w:val="000000" w:themeColor="text1"/>
          <w:sz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p>
    <w:p>
      <w:pPr>
        <w:spacing w:line="400" w:lineRule="exact"/>
        <w:jc w:val="lef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三、商务部分（</w:t>
      </w:r>
      <w:r>
        <w:rPr>
          <w:rFonts w:ascii="宋体" w:hAnsi="宋体"/>
          <w:b/>
          <w:bCs/>
          <w:color w:val="000000" w:themeColor="text1"/>
          <w:sz w:val="24"/>
          <w:szCs w:val="24"/>
          <w14:textFill>
            <w14:solidFill>
              <w14:schemeClr w14:val="tx1"/>
            </w14:solidFill>
          </w14:textFill>
        </w:rPr>
        <w:t>15</w:t>
      </w:r>
      <w:r>
        <w:rPr>
          <w:rFonts w:hint="eastAsia" w:ascii="宋体" w:hAnsi="宋体"/>
          <w:b/>
          <w:bCs/>
          <w:color w:val="000000" w:themeColor="text1"/>
          <w:sz w:val="24"/>
          <w:szCs w:val="24"/>
          <w14:textFill>
            <w14:solidFill>
              <w14:schemeClr w14:val="tx1"/>
            </w14:solidFill>
          </w14:textFill>
        </w:rPr>
        <w:t>分）</w:t>
      </w:r>
    </w:p>
    <w:tbl>
      <w:tblPr>
        <w:tblStyle w:val="29"/>
        <w:tblW w:w="944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90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622" w:type="dxa"/>
            <w:vAlign w:val="center"/>
          </w:tcPr>
          <w:p>
            <w:pPr>
              <w:pStyle w:val="15"/>
              <w:spacing w:line="460" w:lineRule="exact"/>
              <w:jc w:val="center"/>
              <w:rPr>
                <w:rFonts w:hint="default"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3-1</w:t>
            </w:r>
          </w:p>
        </w:tc>
        <w:tc>
          <w:tcPr>
            <w:tcW w:w="7905" w:type="dxa"/>
            <w:vAlign w:val="top"/>
          </w:tcPr>
          <w:p>
            <w:pPr>
              <w:pStyle w:val="1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投标人具有ISO9001质量管理体系认证证书、ISO14001环境管理体系认证证书、</w:t>
            </w:r>
            <w:r>
              <w:rPr>
                <w:rFonts w:hint="eastAsia" w:ascii="宋体" w:hAnsi="宋体"/>
                <w:color w:val="000000" w:themeColor="text1"/>
                <w:sz w:val="24"/>
                <w:lang w:val="de-DE"/>
                <w14:textFill>
                  <w14:solidFill>
                    <w14:schemeClr w14:val="tx1"/>
                  </w14:solidFill>
                </w14:textFill>
              </w:rPr>
              <w:t>OHSAS18001职业健康安全管理体系认证证书、知识管理体系认证证书</w:t>
            </w:r>
            <w:r>
              <w:rPr>
                <w:rFonts w:hint="eastAsia" w:ascii="宋体" w:hAnsi="宋体"/>
                <w:color w:val="000000" w:themeColor="text1"/>
                <w:sz w:val="24"/>
                <w14:textFill>
                  <w14:solidFill>
                    <w14:schemeClr w14:val="tx1"/>
                  </w14:solidFill>
                </w14:textFill>
              </w:rPr>
              <w:t>的，每提供一项证书得0.5分，满分2分。投标人须提供相应有效证书复印件，并加盖投标人公章，否则不得分。</w:t>
            </w:r>
          </w:p>
        </w:tc>
        <w:tc>
          <w:tcPr>
            <w:tcW w:w="913" w:type="dxa"/>
            <w:vAlign w:val="center"/>
          </w:tcPr>
          <w:p>
            <w:pPr>
              <w:spacing w:line="460" w:lineRule="exact"/>
              <w:ind w:left="120" w:leftChars="5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622" w:type="dxa"/>
            <w:vAlign w:val="center"/>
          </w:tcPr>
          <w:p>
            <w:pPr>
              <w:pStyle w:val="15"/>
              <w:spacing w:line="460" w:lineRule="exact"/>
              <w:jc w:val="center"/>
              <w:rPr>
                <w:rFonts w:hint="default"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3-2</w:t>
            </w:r>
          </w:p>
        </w:tc>
        <w:tc>
          <w:tcPr>
            <w:tcW w:w="7905" w:type="dxa"/>
            <w:vAlign w:val="top"/>
          </w:tcPr>
          <w:p>
            <w:pPr>
              <w:pStyle w:val="12"/>
              <w:ind w:left="-27" w:firstLine="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投标人具有高新技术企业证书、</w:t>
            </w:r>
            <w:r>
              <w:rPr>
                <w:rFonts w:hint="eastAsia" w:ascii="宋体" w:hAnsi="宋体"/>
                <w:color w:val="000000" w:themeColor="text1"/>
                <w:sz w:val="24"/>
                <w:lang w:val="de-DE"/>
                <w14:textFill>
                  <w14:solidFill>
                    <w14:schemeClr w14:val="tx1"/>
                  </w14:solidFill>
                </w14:textFill>
              </w:rPr>
              <w:t>安防《设计、施工、维修资格证》肆级证书、</w:t>
            </w:r>
            <w:r>
              <w:rPr>
                <w:rFonts w:hint="eastAsia" w:ascii="宋体" w:hAnsi="宋体"/>
                <w:color w:val="000000" w:themeColor="text1"/>
                <w:sz w:val="24"/>
                <w14:textFill>
                  <w14:solidFill>
                    <w14:schemeClr w14:val="tx1"/>
                  </w14:solidFill>
                </w14:textFill>
              </w:rPr>
              <w:t>企业信用等级证书AAA级、</w:t>
            </w:r>
            <w:r>
              <w:rPr>
                <w:rFonts w:hint="eastAsia" w:ascii="宋体" w:hAnsi="宋体"/>
                <w:color w:val="000000" w:themeColor="text1"/>
                <w:sz w:val="24"/>
                <w:lang w:val="de-DE"/>
                <w14:textFill>
                  <w14:solidFill>
                    <w14:schemeClr w14:val="tx1"/>
                  </w14:solidFill>
                </w14:textFill>
              </w:rPr>
              <w:t>标准化良好行为企业证书</w:t>
            </w:r>
            <w:r>
              <w:rPr>
                <w:rFonts w:hint="eastAsia" w:ascii="宋体" w:hAnsi="宋体"/>
                <w:color w:val="000000" w:themeColor="text1"/>
                <w:sz w:val="24"/>
                <w14:textFill>
                  <w14:solidFill>
                    <w14:schemeClr w14:val="tx1"/>
                  </w14:solidFill>
                </w14:textFill>
              </w:rPr>
              <w:t>AAAA级、</w:t>
            </w:r>
            <w:r>
              <w:rPr>
                <w:rFonts w:hint="eastAsia" w:ascii="宋体" w:hAnsi="宋体"/>
                <w:color w:val="000000" w:themeColor="text1"/>
                <w:sz w:val="24"/>
                <w:lang w:val="de-DE"/>
                <w14:textFill>
                  <w14:solidFill>
                    <w14:schemeClr w14:val="tx1"/>
                  </w14:solidFill>
                </w14:textFill>
              </w:rPr>
              <w:t>建筑门窗行业资格证书电动门产品制造及电动门产品安装壹级证书</w:t>
            </w:r>
            <w:r>
              <w:rPr>
                <w:rFonts w:hint="eastAsia" w:ascii="宋体" w:hAnsi="宋体"/>
                <w:color w:val="000000" w:themeColor="text1"/>
                <w:sz w:val="24"/>
                <w14:textFill>
                  <w14:solidFill>
                    <w14:schemeClr w14:val="tx1"/>
                  </w14:solidFill>
                </w14:textFill>
              </w:rPr>
              <w:t>,一个证书</w:t>
            </w:r>
            <w:r>
              <w:rPr>
                <w:rFonts w:hint="eastAsia" w:ascii="宋体" w:hAnsi="宋体"/>
                <w:color w:val="000000" w:themeColor="text1"/>
                <w:sz w:val="24"/>
                <w:lang w:val="de-DE"/>
                <w14:textFill>
                  <w14:solidFill>
                    <w14:schemeClr w14:val="tx1"/>
                  </w14:solidFill>
                </w14:textFill>
              </w:rPr>
              <w:t>得</w:t>
            </w:r>
            <w:r>
              <w:rPr>
                <w:rFonts w:hint="eastAsia" w:ascii="宋体" w:hAnsi="宋体"/>
                <w:color w:val="000000" w:themeColor="text1"/>
                <w:sz w:val="24"/>
                <w14:textFill>
                  <w14:solidFill>
                    <w14:schemeClr w14:val="tx1"/>
                  </w14:solidFill>
                </w14:textFill>
              </w:rPr>
              <w:t>0.5分，满分3分，投标人须提供相应有效证书复印件，并加盖投标人公章，否则不得分。</w:t>
            </w:r>
          </w:p>
        </w:tc>
        <w:tc>
          <w:tcPr>
            <w:tcW w:w="913" w:type="dxa"/>
            <w:vAlign w:val="center"/>
          </w:tcPr>
          <w:p>
            <w:pPr>
              <w:spacing w:line="460" w:lineRule="exact"/>
              <w:ind w:left="120" w:leftChars="5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22" w:type="dxa"/>
            <w:vMerge w:val="restart"/>
            <w:vAlign w:val="center"/>
          </w:tcPr>
          <w:p>
            <w:pPr>
              <w:pStyle w:val="15"/>
              <w:spacing w:line="460" w:lineRule="exact"/>
              <w:jc w:val="center"/>
              <w:rPr>
                <w:rFonts w:hint="default"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3-3</w:t>
            </w:r>
          </w:p>
        </w:tc>
        <w:tc>
          <w:tcPr>
            <w:tcW w:w="7905" w:type="dxa"/>
            <w:vAlign w:val="top"/>
          </w:tcPr>
          <w:p>
            <w:pPr>
              <w:pStyle w:val="12"/>
              <w:ind w:left="-27" w:firstLine="0"/>
              <w:rPr>
                <w:rFonts w:hint="eastAsia"/>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①售后服务</w:t>
            </w:r>
            <w:r>
              <w:rPr>
                <w:rFonts w:hint="eastAsia" w:ascii="宋体" w:hAnsi="宋体"/>
                <w:color w:val="000000" w:themeColor="text1"/>
                <w:sz w:val="24"/>
                <w:lang w:eastAsia="zh-CN"/>
                <w14:textFill>
                  <w14:solidFill>
                    <w14:schemeClr w14:val="tx1"/>
                  </w14:solidFill>
                </w14:textFill>
              </w:rPr>
              <w:t>方案：</w:t>
            </w:r>
            <w:r>
              <w:rPr>
                <w:rFonts w:hint="eastAsia" w:ascii="宋体" w:hAnsi="宋体"/>
                <w:color w:val="000000" w:themeColor="text1"/>
                <w:sz w:val="24"/>
                <w14:textFill>
                  <w14:solidFill>
                    <w14:schemeClr w14:val="tx1"/>
                  </w14:solidFill>
                </w14:textFill>
              </w:rPr>
              <w:t>由评委根据投标人提供的质量保证措施、维保响应时间、提供免费培训服务等情况在0</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分之间进行评分。</w:t>
            </w:r>
          </w:p>
        </w:tc>
        <w:tc>
          <w:tcPr>
            <w:tcW w:w="913" w:type="dxa"/>
            <w:vAlign w:val="center"/>
          </w:tcPr>
          <w:p>
            <w:pPr>
              <w:spacing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22" w:type="dxa"/>
            <w:vMerge w:val="continue"/>
            <w:vAlign w:val="center"/>
          </w:tcPr>
          <w:p>
            <w:pPr>
              <w:pStyle w:val="15"/>
              <w:spacing w:line="460" w:lineRule="exact"/>
              <w:jc w:val="center"/>
              <w:rPr>
                <w:rFonts w:hint="eastAsia" w:ascii="宋体" w:hAnsi="宋体"/>
                <w:color w:val="000000" w:themeColor="text1"/>
                <w:sz w:val="24"/>
                <w14:textFill>
                  <w14:solidFill>
                    <w14:schemeClr w14:val="tx1"/>
                  </w14:solidFill>
                </w14:textFill>
              </w:rPr>
            </w:pPr>
          </w:p>
        </w:tc>
        <w:tc>
          <w:tcPr>
            <w:tcW w:w="7905" w:type="dxa"/>
            <w:vAlign w:val="top"/>
          </w:tcPr>
          <w:p>
            <w:pPr>
              <w:adjustRightInd w:val="0"/>
              <w:snapToGrid w:val="0"/>
              <w:spacing w:line="400" w:lineRule="exact"/>
              <w:rPr>
                <w:rFonts w:hint="eastAsia" w:ascii="宋体" w:hAnsi="宋体"/>
                <w:color w:val="000000" w:themeColor="text1"/>
                <w:sz w:val="24"/>
                <w14:textFill>
                  <w14:solidFill>
                    <w14:schemeClr w14:val="tx1"/>
                  </w14:solidFill>
                </w14:textFill>
              </w:rPr>
            </w:pPr>
            <w:r>
              <w:rPr>
                <w:rFonts w:hint="eastAsia" w:cs="宋体"/>
                <w:color w:val="000000" w:themeColor="text1"/>
                <w:kern w:val="1"/>
                <w:sz w:val="24"/>
                <w14:textFill>
                  <w14:solidFill>
                    <w14:schemeClr w14:val="tx1"/>
                  </w14:solidFill>
                </w14:textFill>
              </w:rPr>
              <w:t>②</w:t>
            </w:r>
            <w:r>
              <w:rPr>
                <w:color w:val="000000" w:themeColor="text1"/>
                <w:sz w:val="24"/>
                <w14:textFill>
                  <w14:solidFill>
                    <w14:schemeClr w14:val="tx1"/>
                  </w14:solidFill>
                </w14:textFill>
              </w:rPr>
              <w:t>投标人提供的免费保修期的应答情况：</w:t>
            </w:r>
            <w:r>
              <w:rPr>
                <w:rFonts w:hint="eastAsia"/>
                <w:color w:val="000000" w:themeColor="text1"/>
                <w:sz w:val="24"/>
                <w14:textFill>
                  <w14:solidFill>
                    <w14:schemeClr w14:val="tx1"/>
                  </w14:solidFill>
                </w14:textFill>
              </w:rPr>
              <w:t>免费保修期在采购文件</w:t>
            </w:r>
            <w:r>
              <w:rPr>
                <w:color w:val="000000" w:themeColor="text1"/>
                <w:sz w:val="24"/>
                <w14:textFill>
                  <w14:solidFill>
                    <w14:schemeClr w14:val="tx1"/>
                  </w14:solidFill>
                </w14:textFill>
              </w:rPr>
              <w:t>要求</w:t>
            </w:r>
            <w:r>
              <w:rPr>
                <w:rFonts w:hint="eastAsia"/>
                <w:color w:val="000000" w:themeColor="text1"/>
                <w:sz w:val="24"/>
                <w14:textFill>
                  <w14:solidFill>
                    <w14:schemeClr w14:val="tx1"/>
                  </w14:solidFill>
                </w14:textFill>
              </w:rPr>
              <w:t>基础上每增加1年加</w:t>
            </w:r>
            <w:r>
              <w:rPr>
                <w:rFonts w:hint="eastAsia"/>
                <w:color w:val="000000" w:themeColor="text1"/>
                <w:sz w:val="24"/>
                <w:lang w:val="en-US" w:eastAsia="zh-CN"/>
                <w14:textFill>
                  <w14:solidFill>
                    <w14:schemeClr w14:val="tx1"/>
                  </w14:solidFill>
                </w14:textFill>
              </w:rPr>
              <w:t>0.5</w:t>
            </w:r>
            <w:r>
              <w:rPr>
                <w:rFonts w:hint="eastAsia"/>
                <w:color w:val="000000" w:themeColor="text1"/>
                <w:sz w:val="24"/>
                <w14:textFill>
                  <w14:solidFill>
                    <w14:schemeClr w14:val="tx1"/>
                  </w14:solidFill>
                </w14:textFill>
              </w:rPr>
              <w:t>分，最高得2分。</w:t>
            </w:r>
          </w:p>
        </w:tc>
        <w:tc>
          <w:tcPr>
            <w:tcW w:w="913" w:type="dxa"/>
            <w:vAlign w:val="center"/>
          </w:tcPr>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622" w:type="dxa"/>
            <w:vMerge w:val="continue"/>
            <w:vAlign w:val="center"/>
          </w:tcPr>
          <w:p>
            <w:pPr>
              <w:pStyle w:val="15"/>
              <w:spacing w:line="460" w:lineRule="exact"/>
              <w:jc w:val="center"/>
              <w:rPr>
                <w:rFonts w:hint="eastAsia" w:ascii="宋体" w:hAnsi="宋体"/>
                <w:color w:val="000000" w:themeColor="text1"/>
                <w:sz w:val="24"/>
                <w14:textFill>
                  <w14:solidFill>
                    <w14:schemeClr w14:val="tx1"/>
                  </w14:solidFill>
                </w14:textFill>
              </w:rPr>
            </w:pPr>
          </w:p>
        </w:tc>
        <w:tc>
          <w:tcPr>
            <w:tcW w:w="7905" w:type="dxa"/>
            <w:vAlign w:val="top"/>
          </w:tcPr>
          <w:p>
            <w:pPr>
              <w:adjustRightInd w:val="0"/>
              <w:snapToGrid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ascii="宋体"/>
                <w:color w:val="000000" w:themeColor="text1"/>
                <w:sz w:val="24"/>
                <w14:textFill>
                  <w14:solidFill>
                    <w14:schemeClr w14:val="tx1"/>
                  </w14:solidFill>
                </w14:textFill>
              </w:rPr>
              <w:t>投标人在注册地为</w:t>
            </w:r>
            <w:r>
              <w:rPr>
                <w:rFonts w:hint="eastAsia" w:ascii="宋体"/>
                <w:color w:val="000000" w:themeColor="text1"/>
                <w:sz w:val="24"/>
                <w:lang w:eastAsia="zh-CN"/>
                <w14:textFill>
                  <w14:solidFill>
                    <w14:schemeClr w14:val="tx1"/>
                  </w14:solidFill>
                </w14:textFill>
              </w:rPr>
              <w:t>莆田</w:t>
            </w:r>
            <w:r>
              <w:rPr>
                <w:rFonts w:hint="eastAsia" w:ascii="宋体"/>
                <w:color w:val="000000" w:themeColor="text1"/>
                <w:sz w:val="24"/>
                <w14:textFill>
                  <w14:solidFill>
                    <w14:schemeClr w14:val="tx1"/>
                  </w14:solidFill>
                </w14:textFill>
              </w:rPr>
              <w:t>市或在</w:t>
            </w:r>
            <w:r>
              <w:rPr>
                <w:rFonts w:hint="eastAsia" w:ascii="宋体"/>
                <w:color w:val="000000" w:themeColor="text1"/>
                <w:sz w:val="24"/>
                <w:lang w:eastAsia="zh-CN"/>
                <w14:textFill>
                  <w14:solidFill>
                    <w14:schemeClr w14:val="tx1"/>
                  </w14:solidFill>
                </w14:textFill>
              </w:rPr>
              <w:t>莆田</w:t>
            </w:r>
            <w:r>
              <w:rPr>
                <w:rFonts w:hint="eastAsia" w:ascii="宋体"/>
                <w:color w:val="000000" w:themeColor="text1"/>
                <w:sz w:val="24"/>
                <w14:textFill>
                  <w14:solidFill>
                    <w14:schemeClr w14:val="tx1"/>
                  </w14:solidFill>
                </w14:textFill>
              </w:rPr>
              <w:t>市设有售后服务机构的得</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分；注册地为福建（</w:t>
            </w:r>
            <w:r>
              <w:rPr>
                <w:rFonts w:hint="eastAsia" w:ascii="宋体"/>
                <w:color w:val="000000" w:themeColor="text1"/>
                <w:sz w:val="24"/>
                <w:lang w:eastAsia="zh-CN"/>
                <w14:textFill>
                  <w14:solidFill>
                    <w14:schemeClr w14:val="tx1"/>
                  </w14:solidFill>
                </w14:textFill>
              </w:rPr>
              <w:t>莆田</w:t>
            </w:r>
            <w:r>
              <w:rPr>
                <w:rFonts w:hint="eastAsia" w:ascii="宋体"/>
                <w:color w:val="000000" w:themeColor="text1"/>
                <w:sz w:val="24"/>
                <w14:textFill>
                  <w14:solidFill>
                    <w14:schemeClr w14:val="tx1"/>
                  </w14:solidFill>
                </w14:textFill>
              </w:rPr>
              <w:t>地区除外）或在福建地区（</w:t>
            </w:r>
            <w:r>
              <w:rPr>
                <w:rFonts w:hint="eastAsia" w:ascii="宋体"/>
                <w:color w:val="000000" w:themeColor="text1"/>
                <w:sz w:val="24"/>
                <w:lang w:eastAsia="zh-CN"/>
                <w14:textFill>
                  <w14:solidFill>
                    <w14:schemeClr w14:val="tx1"/>
                  </w14:solidFill>
                </w14:textFill>
              </w:rPr>
              <w:t>莆田</w:t>
            </w:r>
            <w:r>
              <w:rPr>
                <w:rFonts w:hint="eastAsia" w:ascii="宋体"/>
                <w:color w:val="000000" w:themeColor="text1"/>
                <w:sz w:val="24"/>
                <w14:textFill>
                  <w14:solidFill>
                    <w14:schemeClr w14:val="tx1"/>
                  </w14:solidFill>
                </w14:textFill>
              </w:rPr>
              <w:t>地区除外）设有售后服务机构的得1分。投标人需提供服务机构服务协议和工商营业证明材料复印件，未提供者不得分。</w:t>
            </w:r>
            <w:r>
              <w:rPr>
                <w:rFonts w:hint="eastAsia" w:ascii="宋体" w:hAnsi="宋体"/>
                <w:color w:val="000000" w:themeColor="text1"/>
                <w:sz w:val="24"/>
                <w14:textFill>
                  <w14:solidFill>
                    <w14:schemeClr w14:val="tx1"/>
                  </w14:solidFill>
                </w14:textFill>
              </w:rPr>
              <w:t xml:space="preserve"> </w:t>
            </w:r>
          </w:p>
        </w:tc>
        <w:tc>
          <w:tcPr>
            <w:tcW w:w="913" w:type="dxa"/>
            <w:vAlign w:val="center"/>
          </w:tcPr>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22" w:type="dxa"/>
            <w:vAlign w:val="center"/>
          </w:tcPr>
          <w:p>
            <w:pPr>
              <w:pStyle w:val="75"/>
              <w:spacing w:before="120" w:after="120" w:line="460" w:lineRule="exact"/>
              <w:jc w:val="center"/>
              <w:rPr>
                <w:rFonts w:hint="default" w:ascii="宋体" w:hAnsi="宋体" w:eastAsia="宋体"/>
                <w:color w:val="000000" w:themeColor="text1"/>
                <w:sz w:val="24"/>
                <w:szCs w:val="21"/>
                <w:lang w:val="en-US" w:eastAsia="zh-CN"/>
                <w14:textFill>
                  <w14:solidFill>
                    <w14:schemeClr w14:val="tx1"/>
                  </w14:solidFill>
                </w14:textFill>
              </w:rPr>
            </w:pPr>
            <w:r>
              <w:rPr>
                <w:rFonts w:hint="eastAsia" w:ascii="宋体" w:hAnsi="宋体"/>
                <w:color w:val="000000" w:themeColor="text1"/>
                <w:sz w:val="24"/>
                <w:szCs w:val="21"/>
                <w:lang w:val="en-US" w:eastAsia="zh-CN"/>
                <w14:textFill>
                  <w14:solidFill>
                    <w14:schemeClr w14:val="tx1"/>
                  </w14:solidFill>
                </w14:textFill>
              </w:rPr>
              <w:t>3-4</w:t>
            </w:r>
          </w:p>
        </w:tc>
        <w:tc>
          <w:tcPr>
            <w:tcW w:w="7905" w:type="dxa"/>
            <w:vAlign w:val="center"/>
          </w:tcPr>
          <w:p>
            <w:pPr>
              <w:adjustRightInd w:val="0"/>
              <w:snapToGrid w:val="0"/>
              <w:spacing w:line="400" w:lineRule="exact"/>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根据投标人</w:t>
            </w:r>
            <w:r>
              <w:rPr>
                <w:rFonts w:hint="eastAsia" w:ascii="宋体" w:hAnsi="宋体" w:cs="Times New Roman"/>
                <w:color w:val="000000" w:themeColor="text1"/>
                <w:sz w:val="24"/>
                <w:lang w:val="en-US" w:eastAsia="zh-CN"/>
                <w14:textFill>
                  <w14:solidFill>
                    <w14:schemeClr w14:val="tx1"/>
                  </w14:solidFill>
                </w14:textFill>
              </w:rPr>
              <w:t>近三年</w:t>
            </w:r>
            <w:r>
              <w:rPr>
                <w:rFonts w:hint="eastAsia" w:ascii="宋体" w:hAnsi="宋体" w:cs="Times New Roman"/>
                <w:color w:val="000000" w:themeColor="text1"/>
                <w:sz w:val="24"/>
                <w14:textFill>
                  <w14:solidFill>
                    <w14:schemeClr w14:val="tx1"/>
                  </w14:solidFill>
                </w14:textFill>
              </w:rPr>
              <w:t>以来（以合同签订时间为准）独立承接过合同金额2</w:t>
            </w:r>
            <w:r>
              <w:rPr>
                <w:rFonts w:hint="eastAsia" w:ascii="宋体" w:hAnsi="宋体" w:cs="Times New Roman"/>
                <w:color w:val="000000" w:themeColor="text1"/>
                <w:sz w:val="24"/>
                <w:lang w:val="en-US" w:eastAsia="zh-CN"/>
                <w14:textFill>
                  <w14:solidFill>
                    <w14:schemeClr w14:val="tx1"/>
                  </w14:solidFill>
                </w14:textFill>
              </w:rPr>
              <w:t>0</w:t>
            </w:r>
            <w:r>
              <w:rPr>
                <w:rFonts w:hint="eastAsia" w:ascii="宋体" w:hAnsi="宋体" w:cs="Times New Roman"/>
                <w:color w:val="000000" w:themeColor="text1"/>
                <w:sz w:val="24"/>
                <w14:textFill>
                  <w14:solidFill>
                    <w14:schemeClr w14:val="tx1"/>
                  </w14:solidFill>
                </w14:textFill>
              </w:rPr>
              <w:t>万或以上同类项目（电动</w:t>
            </w:r>
            <w:r>
              <w:rPr>
                <w:rFonts w:hint="eastAsia" w:ascii="宋体" w:hAnsi="宋体" w:cs="Times New Roman"/>
                <w:color w:val="000000" w:themeColor="text1"/>
                <w:sz w:val="24"/>
                <w:lang w:eastAsia="zh-CN"/>
                <w14:textFill>
                  <w14:solidFill>
                    <w14:schemeClr w14:val="tx1"/>
                  </w14:solidFill>
                </w14:textFill>
              </w:rPr>
              <w:t>智能平移门</w:t>
            </w:r>
            <w:r>
              <w:rPr>
                <w:rFonts w:hint="eastAsia" w:ascii="宋体" w:hAnsi="宋体" w:cs="Times New Roman"/>
                <w:color w:val="000000" w:themeColor="text1"/>
                <w:sz w:val="24"/>
                <w14:textFill>
                  <w14:solidFill>
                    <w14:schemeClr w14:val="tx1"/>
                  </w14:solidFill>
                </w14:textFill>
              </w:rPr>
              <w:t>）情况进行打分：提供一份业绩得1分，满分3分</w:t>
            </w:r>
            <w:r>
              <w:rPr>
                <w:rFonts w:hint="eastAsia" w:ascii="宋体" w:hAnsi="宋体" w:cs="Times New Roman"/>
                <w:color w:val="000000" w:themeColor="text1"/>
                <w:sz w:val="24"/>
                <w:lang w:eastAsia="zh-CN"/>
                <w14:textFill>
                  <w14:solidFill>
                    <w14:schemeClr w14:val="tx1"/>
                  </w14:solidFill>
                </w14:textFill>
              </w:rPr>
              <w:t>。</w:t>
            </w:r>
            <w:r>
              <w:rPr>
                <w:rFonts w:hint="eastAsia" w:ascii="宋体" w:hAnsi="宋体" w:cs="Times New Roman"/>
                <w:color w:val="000000" w:themeColor="text1"/>
                <w:sz w:val="24"/>
                <w:lang w:val="en-US" w:eastAsia="zh-CN"/>
                <w14:textFill>
                  <w14:solidFill>
                    <w14:schemeClr w14:val="tx1"/>
                  </w14:solidFill>
                </w14:textFill>
              </w:rPr>
              <w:t>须提供</w:t>
            </w:r>
            <w:r>
              <w:rPr>
                <w:rFonts w:hint="eastAsia" w:ascii="宋体" w:hAnsi="宋体" w:cs="Times New Roman"/>
                <w:color w:val="000000" w:themeColor="text1"/>
                <w:sz w:val="24"/>
                <w14:textFill>
                  <w14:solidFill>
                    <w14:schemeClr w14:val="tx1"/>
                  </w14:solidFill>
                </w14:textFill>
              </w:rPr>
              <w:t>中标公告（提供相关网站中标公告的下载网页并注明网址）、中标通知书复印件、采购合同文本复印件，以及能够证明该业绩项目已经采购人验收合格的相关证明文件复印件</w:t>
            </w:r>
            <w:r>
              <w:rPr>
                <w:rFonts w:hint="eastAsia" w:ascii="宋体" w:hAnsi="宋体" w:cs="Times New Roman"/>
                <w:color w:val="000000" w:themeColor="text1"/>
                <w:sz w:val="24"/>
                <w:lang w:eastAsia="zh-CN"/>
                <w14:textFill>
                  <w14:solidFill>
                    <w14:schemeClr w14:val="tx1"/>
                  </w14:solidFill>
                </w14:textFill>
              </w:rPr>
              <w:t>，</w:t>
            </w:r>
            <w:r>
              <w:rPr>
                <w:rFonts w:hint="eastAsia" w:ascii="宋体" w:hAnsi="宋体" w:cs="Times New Roman"/>
                <w:color w:val="000000" w:themeColor="text1"/>
                <w:sz w:val="24"/>
                <w14:textFill>
                  <w14:solidFill>
                    <w14:schemeClr w14:val="tx1"/>
                  </w14:solidFill>
                </w14:textFill>
              </w:rPr>
              <w:t>原件备查</w:t>
            </w:r>
          </w:p>
        </w:tc>
        <w:tc>
          <w:tcPr>
            <w:tcW w:w="913" w:type="dxa"/>
            <w:vAlign w:val="center"/>
          </w:tcPr>
          <w:p>
            <w:pPr>
              <w:adjustRightInd w:val="0"/>
              <w:snapToGrid w:val="0"/>
              <w:spacing w:line="400" w:lineRule="exact"/>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22" w:type="dxa"/>
            <w:vAlign w:val="center"/>
          </w:tcPr>
          <w:p>
            <w:pPr>
              <w:pStyle w:val="75"/>
              <w:spacing w:before="120" w:after="120" w:line="460" w:lineRule="exact"/>
              <w:jc w:val="center"/>
              <w:rPr>
                <w:rFonts w:hint="default" w:ascii="宋体" w:hAnsi="宋体"/>
                <w:color w:val="000000" w:themeColor="text1"/>
                <w:sz w:val="24"/>
                <w:szCs w:val="21"/>
                <w:lang w:val="en-US" w:eastAsia="zh-CN"/>
                <w14:textFill>
                  <w14:solidFill>
                    <w14:schemeClr w14:val="tx1"/>
                  </w14:solidFill>
                </w14:textFill>
              </w:rPr>
            </w:pPr>
            <w:r>
              <w:rPr>
                <w:rFonts w:hint="eastAsia" w:ascii="宋体" w:hAnsi="宋体"/>
                <w:color w:val="000000" w:themeColor="text1"/>
                <w:sz w:val="24"/>
                <w:szCs w:val="21"/>
                <w:lang w:val="en-US" w:eastAsia="zh-CN"/>
                <w14:textFill>
                  <w14:solidFill>
                    <w14:schemeClr w14:val="tx1"/>
                  </w14:solidFill>
                </w14:textFill>
              </w:rPr>
              <w:t>3-5</w:t>
            </w:r>
          </w:p>
        </w:tc>
        <w:tc>
          <w:tcPr>
            <w:tcW w:w="7905" w:type="dxa"/>
            <w:vAlign w:val="center"/>
          </w:tcPr>
          <w:p>
            <w:pPr>
              <w:adjustRightInd w:val="0"/>
              <w:snapToGrid w:val="0"/>
              <w:spacing w:line="400" w:lineRule="exact"/>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根据投标人产品有获得专利证书的数量进行横向比较，第一名得</w:t>
            </w:r>
            <w:r>
              <w:rPr>
                <w:rFonts w:hint="eastAsia" w:ascii="宋体" w:hAnsi="宋体" w:cs="Times New Roman"/>
                <w:color w:val="000000" w:themeColor="text1"/>
                <w:sz w:val="24"/>
                <w:lang w:val="en-US" w:eastAsia="zh-CN"/>
                <w14:textFill>
                  <w14:solidFill>
                    <w14:schemeClr w14:val="tx1"/>
                  </w14:solidFill>
                </w14:textFill>
              </w:rPr>
              <w:t>1</w:t>
            </w:r>
            <w:r>
              <w:rPr>
                <w:rFonts w:hint="eastAsia" w:ascii="宋体" w:hAnsi="宋体" w:cs="Times New Roman"/>
                <w:color w:val="000000" w:themeColor="text1"/>
                <w:sz w:val="24"/>
                <w14:textFill>
                  <w14:solidFill>
                    <w14:schemeClr w14:val="tx1"/>
                  </w14:solidFill>
                </w14:textFill>
              </w:rPr>
              <w:t>分，第二名得</w:t>
            </w:r>
            <w:r>
              <w:rPr>
                <w:rFonts w:hint="eastAsia" w:ascii="宋体" w:hAnsi="宋体" w:cs="Times New Roman"/>
                <w:color w:val="000000" w:themeColor="text1"/>
                <w:sz w:val="24"/>
                <w:lang w:val="en-US" w:eastAsia="zh-CN"/>
                <w14:textFill>
                  <w14:solidFill>
                    <w14:schemeClr w14:val="tx1"/>
                  </w14:solidFill>
                </w14:textFill>
              </w:rPr>
              <w:t>0.5</w:t>
            </w:r>
            <w:r>
              <w:rPr>
                <w:rFonts w:hint="eastAsia" w:ascii="宋体" w:hAnsi="宋体" w:cs="Times New Roman"/>
                <w:color w:val="000000" w:themeColor="text1"/>
                <w:sz w:val="24"/>
                <w14:textFill>
                  <w14:solidFill>
                    <w14:schemeClr w14:val="tx1"/>
                  </w14:solidFill>
                </w14:textFill>
              </w:rPr>
              <w:t>分，第三名得</w:t>
            </w:r>
            <w:r>
              <w:rPr>
                <w:rFonts w:hint="eastAsia" w:ascii="宋体" w:hAnsi="宋体" w:cs="Times New Roman"/>
                <w:color w:val="000000" w:themeColor="text1"/>
                <w:sz w:val="24"/>
                <w:lang w:val="en-US" w:eastAsia="zh-CN"/>
                <w14:textFill>
                  <w14:solidFill>
                    <w14:schemeClr w14:val="tx1"/>
                  </w14:solidFill>
                </w14:textFill>
              </w:rPr>
              <w:t>0.25</w:t>
            </w:r>
            <w:r>
              <w:rPr>
                <w:rFonts w:hint="eastAsia" w:ascii="宋体" w:hAnsi="宋体" w:cs="Times New Roman"/>
                <w:color w:val="000000" w:themeColor="text1"/>
                <w:sz w:val="24"/>
                <w14:textFill>
                  <w14:solidFill>
                    <w14:schemeClr w14:val="tx1"/>
                  </w14:solidFill>
                </w14:textFill>
              </w:rPr>
              <w:t>分，其它不得分。投标人须提供相应证书复印件作为考评依据，并加盖投标人公章，无专利证书的、未提供者、不得分。</w:t>
            </w:r>
          </w:p>
        </w:tc>
        <w:tc>
          <w:tcPr>
            <w:tcW w:w="913" w:type="dxa"/>
            <w:vAlign w:val="center"/>
          </w:tcPr>
          <w:p>
            <w:pPr>
              <w:adjustRightInd w:val="0"/>
              <w:snapToGrid w:val="0"/>
              <w:spacing w:line="400" w:lineRule="exact"/>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w:t>
            </w:r>
            <w:r>
              <w:rPr>
                <w:rFonts w:hint="eastAsia" w:ascii="宋体" w:hAnsi="宋体" w:cs="Times New Roman"/>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22" w:type="dxa"/>
            <w:vAlign w:val="center"/>
          </w:tcPr>
          <w:p>
            <w:pPr>
              <w:pStyle w:val="75"/>
              <w:spacing w:before="120" w:after="120" w:line="460" w:lineRule="exact"/>
              <w:jc w:val="center"/>
              <w:rPr>
                <w:rFonts w:hint="default" w:ascii="宋体" w:hAnsi="宋体"/>
                <w:color w:val="000000" w:themeColor="text1"/>
                <w:sz w:val="24"/>
                <w:szCs w:val="21"/>
                <w:lang w:val="en-US" w:eastAsia="zh-CN"/>
                <w14:textFill>
                  <w14:solidFill>
                    <w14:schemeClr w14:val="tx1"/>
                  </w14:solidFill>
                </w14:textFill>
              </w:rPr>
            </w:pPr>
            <w:r>
              <w:rPr>
                <w:rFonts w:hint="eastAsia" w:ascii="宋体" w:hAnsi="宋体"/>
                <w:color w:val="000000" w:themeColor="text1"/>
                <w:sz w:val="24"/>
                <w:szCs w:val="21"/>
                <w:lang w:val="en-US" w:eastAsia="zh-CN"/>
                <w14:textFill>
                  <w14:solidFill>
                    <w14:schemeClr w14:val="tx1"/>
                  </w14:solidFill>
                </w14:textFill>
              </w:rPr>
              <w:t>3-6</w:t>
            </w:r>
          </w:p>
        </w:tc>
        <w:tc>
          <w:tcPr>
            <w:tcW w:w="7905" w:type="dxa"/>
            <w:vAlign w:val="center"/>
          </w:tcPr>
          <w:p>
            <w:pPr>
              <w:adjustRightInd w:val="0"/>
              <w:snapToGrid w:val="0"/>
              <w:spacing w:line="400" w:lineRule="exact"/>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投标人针对本项目提供的专业技术能力酌情考评：（1）生产、检验设备先进性、规模性；（2）项目团队介绍：技术人员、检验人员名单，提供相关证明资料由评委横向对比在0-</w:t>
            </w:r>
            <w:r>
              <w:rPr>
                <w:rFonts w:hint="eastAsia" w:ascii="宋体" w:hAnsi="宋体" w:cs="Times New Roman"/>
                <w:color w:val="000000" w:themeColor="text1"/>
                <w:sz w:val="24"/>
                <w:lang w:val="en-US" w:eastAsia="zh-CN"/>
                <w14:textFill>
                  <w14:solidFill>
                    <w14:schemeClr w14:val="tx1"/>
                  </w14:solidFill>
                </w14:textFill>
              </w:rPr>
              <w:t>1</w:t>
            </w:r>
            <w:r>
              <w:rPr>
                <w:rFonts w:hint="eastAsia" w:ascii="宋体" w:hAnsi="宋体" w:cs="Times New Roman"/>
                <w:color w:val="000000" w:themeColor="text1"/>
                <w:sz w:val="24"/>
                <w14:textFill>
                  <w14:solidFill>
                    <w14:schemeClr w14:val="tx1"/>
                  </w14:solidFill>
                </w14:textFill>
              </w:rPr>
              <w:t>分之间进行评分。</w:t>
            </w:r>
          </w:p>
        </w:tc>
        <w:tc>
          <w:tcPr>
            <w:tcW w:w="913" w:type="dxa"/>
            <w:vAlign w:val="center"/>
          </w:tcPr>
          <w:p>
            <w:pPr>
              <w:adjustRightInd w:val="0"/>
              <w:snapToGrid w:val="0"/>
              <w:spacing w:line="400" w:lineRule="exact"/>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w:t>
            </w:r>
            <w:r>
              <w:rPr>
                <w:rFonts w:hint="eastAsia" w:ascii="宋体" w:hAnsi="宋体" w:cs="Times New Roman"/>
                <w:color w:val="000000" w:themeColor="text1"/>
                <w:sz w:val="24"/>
                <w14:textFill>
                  <w14:solidFill>
                    <w14:schemeClr w14:val="tx1"/>
                  </w14:solidFill>
                </w14:textFill>
              </w:rPr>
              <w:t>分</w:t>
            </w:r>
          </w:p>
        </w:tc>
      </w:tr>
    </w:tbl>
    <w:p>
      <w:pPr>
        <w:adjustRightInd w:val="0"/>
        <w:snapToGrid w:val="0"/>
        <w:spacing w:line="520" w:lineRule="exact"/>
        <w:jc w:val="lef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四、附加分：</w:t>
      </w:r>
    </w:p>
    <w:p>
      <w:pPr>
        <w:adjustRightInd w:val="0"/>
        <w:snapToGrid w:val="0"/>
        <w:spacing w:line="520" w:lineRule="exac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1、中小企业参与投标价格扣除：</w:t>
      </w:r>
    </w:p>
    <w:p>
      <w:pPr>
        <w:adjustRightInd w:val="0"/>
        <w:snapToGrid w:val="0"/>
        <w:spacing w:line="520" w:lineRule="exact"/>
        <w:ind w:firstLine="482" w:firstLineChars="20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u w:val="single"/>
          <w14:textFill>
            <w14:solidFill>
              <w14:schemeClr w14:val="tx1"/>
            </w14:solidFill>
          </w14:textFill>
        </w:rPr>
        <w:t>中小企业参与投标价格扣除</w:t>
      </w:r>
      <w:r>
        <w:rPr>
          <w:rFonts w:hint="eastAsia" w:asciiTheme="minorEastAsia" w:hAnsiTheme="minorEastAsia" w:eastAsiaTheme="minorEastAsia" w:cstheme="minorEastAsia"/>
          <w:color w:val="000000" w:themeColor="text1"/>
          <w:sz w:val="24"/>
          <w:u w:val="single"/>
          <w14:textFill>
            <w14:solidFill>
              <w14:schemeClr w14:val="tx1"/>
            </w14:solidFill>
          </w14:textFill>
        </w:rPr>
        <w:t>：根据财政部、工业和信息化部制定的《政府采购促进中小企业发展暂行办法》财库[2011]181号及省财政厅闽财购[2012]34号文件规定，对符合中小企业划分标准，提供本企业制造的货物、承担的工程或者服务，或者提供其他小微企业制造的货物的小微企业给予价格扣除，用扣除后的价格参与评审。本项所称货物不包括使用大型企业注册商标的货物。小型、微型企业产品仅是构成投标产品的部件、组件或零件的，则该投标产品不享受价格扣除优惠。</w:t>
      </w:r>
    </w:p>
    <w:p>
      <w:pPr>
        <w:adjustRightInd w:val="0"/>
        <w:snapToGrid w:val="0"/>
        <w:spacing w:line="52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中小企业价格扣除标准：</w:t>
      </w:r>
    </w:p>
    <w:p>
      <w:pPr>
        <w:adjustRightInd w:val="0"/>
        <w:snapToGrid w:val="0"/>
        <w:spacing w:line="52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①对小型和微型企业产品的价格给予6%的扣除；投标人必须另行提供小型和微型企业产品的《价格扣除清单》（该清单格式自拟，清单要能体现小型和微型企业产品的厂家名称及价格并自行计算出经价格扣除后的评审价格，且必须与投标书、开标一览表装订在一起），否则不予扣除。</w:t>
      </w:r>
    </w:p>
    <w:p>
      <w:pPr>
        <w:adjustRightInd w:val="0"/>
        <w:snapToGrid w:val="0"/>
        <w:spacing w:line="52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②联合协议中约定，小型、微型企业的协议合同金额占到联合体协议合同总金额30%以上的，给予联合体2%的价格扣除。</w:t>
      </w:r>
    </w:p>
    <w:p>
      <w:pPr>
        <w:adjustRightInd w:val="0"/>
        <w:snapToGrid w:val="0"/>
        <w:spacing w:line="52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联合体各方均为小型、微型企业的，联合体视同为小型、微型企业。</w:t>
      </w:r>
    </w:p>
    <w:p>
      <w:pPr>
        <w:adjustRightInd w:val="0"/>
        <w:snapToGrid w:val="0"/>
        <w:spacing w:line="520" w:lineRule="exact"/>
        <w:ind w:firstLine="464" w:firstLineChars="200"/>
        <w:rPr>
          <w:rFonts w:hint="eastAsia" w:asciiTheme="minorEastAsia" w:hAnsiTheme="minorEastAsia" w:eastAsiaTheme="minorEastAsia" w:cstheme="minorEastAsia"/>
          <w:color w:val="000000" w:themeColor="text1"/>
          <w:spacing w:val="-4"/>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组成联合体的大中型企业和其他自然人、法人或者其他组织，与小型、微型企业之间不得存在投资关系。</w:t>
      </w:r>
    </w:p>
    <w:p>
      <w:pPr>
        <w:adjustRightInd w:val="0"/>
        <w:snapToGrid w:val="0"/>
        <w:spacing w:line="520" w:lineRule="exact"/>
        <w:ind w:firstLine="482" w:firstLineChars="200"/>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u w:val="single"/>
          <w14:textFill>
            <w14:solidFill>
              <w14:schemeClr w14:val="tx1"/>
            </w14:solidFill>
          </w14:textFill>
        </w:rPr>
        <w:t>③参加本次政府采购活动的中小企业须提供《中小企业声明函》（见附件）、价格扣除清单和本投标人及价格扣除产品制造商的中小企业类型证明资料，才能给予价格扣除。</w:t>
      </w:r>
    </w:p>
    <w:p>
      <w:pPr>
        <w:adjustRightInd w:val="0"/>
        <w:snapToGrid w:val="0"/>
        <w:spacing w:line="520" w:lineRule="exact"/>
        <w:ind w:firstLine="482" w:firstLineChars="200"/>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u w:val="single"/>
          <w14:textFill>
            <w14:solidFill>
              <w14:schemeClr w14:val="tx1"/>
            </w14:solidFill>
          </w14:textFill>
        </w:rPr>
        <w:t>本投标人及价格扣除产品制造商的中小企业类型证明资料要求：</w:t>
      </w:r>
    </w:p>
    <w:p>
      <w:pPr>
        <w:adjustRightInd w:val="0"/>
        <w:snapToGrid w:val="0"/>
        <w:spacing w:line="52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a.根据</w:t>
      </w:r>
      <w:r>
        <w:rPr>
          <w:rFonts w:hint="eastAsia" w:asciiTheme="minorEastAsia" w:hAnsiTheme="minorEastAsia" w:eastAsiaTheme="minorEastAsia" w:cstheme="minorEastAsia"/>
          <w:color w:val="000000" w:themeColor="text1"/>
          <w:kern w:val="0"/>
          <w:sz w:val="24"/>
          <w14:textFill>
            <w14:solidFill>
              <w14:schemeClr w14:val="tx1"/>
            </w14:solidFill>
          </w14:textFill>
        </w:rPr>
        <w:t>《关于印发中小企业划型标准规定的通知》（工信部联企业〔2011〕300号）规定的划型标准，不同行业的企业应提供相应的证明材料</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adjustRightInd w:val="0"/>
        <w:snapToGrid w:val="0"/>
        <w:spacing w:line="52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a1.涉及营业收入、资产总额划型的企业：应提供该企业经有资质的会计师事务所审计的上一年度财务会计报表（应能体现营业收入、资产总额）；</w:t>
      </w:r>
    </w:p>
    <w:p>
      <w:pPr>
        <w:adjustRightInd w:val="0"/>
        <w:snapToGrid w:val="0"/>
        <w:spacing w:line="520" w:lineRule="exact"/>
        <w:ind w:firstLine="464" w:firstLineChars="200"/>
        <w:rPr>
          <w:rFonts w:hint="eastAsia" w:asciiTheme="minorEastAsia" w:hAnsiTheme="minorEastAsia" w:eastAsiaTheme="minorEastAsia" w:cstheme="minorEastAsia"/>
          <w:color w:val="000000" w:themeColor="text1"/>
          <w:spacing w:val="-4"/>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a2.涉及从业人员划型的企业：应提供该企业参与投标截止时间前三个月内任一个月的缴纳社会保险资金证明材料。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p>
    <w:p>
      <w:pPr>
        <w:spacing w:line="520" w:lineRule="exact"/>
        <w:ind w:firstLine="3514" w:firstLineChars="125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  说明</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 适用范围</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1.1本招标文件仅适用于投标邀请中所叙述项目的货物及服务采购。</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定义</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 “采购人”系指组织本次招标活动的业主方。</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 “招标代理人”系指本次招标采购项目活动的组织方。</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 “投标人”系指购买了本招标文件，且已经提交本次投标文件的制造商或供货商。</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 “货物”系指投标人按招标文件规定向招标人提供的一切设备、机械、仪器仪表、备品备件、工具、手册及其它有关技术资料和材料。</w:t>
      </w:r>
    </w:p>
    <w:p>
      <w:pPr>
        <w:numPr>
          <w:ilvl w:val="0"/>
          <w:numId w:val="4"/>
        </w:numPr>
        <w:spacing w:line="5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合格的投标人及合格的投标产品</w:t>
      </w:r>
    </w:p>
    <w:p>
      <w:pPr>
        <w:spacing w:line="540" w:lineRule="exact"/>
        <w:ind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3.1合格的投标人：按投标人须知前附表序号2资格标准要求</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3.1.1投标产品如属于国家强制性产品认证目录范围内的产品，投标人应提供所投产品的《中国强制性产品认证证书》(即3C认证证书) 复印件。</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3.1.2根据《国务院办公厅关于建立政府强制采购节能产品制度的通知》(国办发{2007}51号)和财政部、发展改革委发布的《节能产品政府采购实施意见》(财库{2004}185号)的规定，本次采购项目中有属政府强制采购节能产品的，投标人所投标产品必须是最新期《节能产品政府采购清单》内产品；</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3.1.3根据质检总局、财政部、认监委《关于调整信息安全产品强制性认证实施要求的公告》(2009年第33号)的规定，采购项目若属于使用财政性资金采购信息安全产品(如防火墙、网络安全隔离卡与线路选择器、安全隔离与信息交换、安全路由器、智能卡COS、数据备份与恢复、安全操作系统、安全数据库系统、反垃圾邮件、入侵检测系统、网络脆弱性扫描、安全审计、网站恢复等13种产品)，应当采购经国家认证的信息安全产品，同时要求产品投标人提供由中国信息安全认证中心按国家标准认证颁发的有效认证证书。</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3.1.4 国家有其它强制性认证要求的应符合规定。</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3.2一个投标人只能提交一份投标文件。但如果投标人之间存在下列互为关联关系的情形之一的，不得同时参加本项目投标：</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 法定代表人为同一人的两个及两个以上法人；</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母公司、直接或间接持股50％及以上的被投资公司；</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 均为同一家母公司直接或间接持股50％及以上的被投资公司。</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3.3投标人不得与本次招标项下设计、编制技术规格和其它文件的公司或提供咨询服务的公司包括其附属机构有任何关联。</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3.4投标代表在同一个项目中只能接受一个投标人的委托参加投标。</w:t>
      </w:r>
    </w:p>
    <w:p>
      <w:pPr>
        <w:spacing w:line="500" w:lineRule="exact"/>
        <w:ind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3.5、本次招标不允许联合体进行投标。</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 投标费用</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 投标人自行承担其参加投标所涉及的一切费用。</w:t>
      </w:r>
    </w:p>
    <w:p>
      <w:pPr>
        <w:spacing w:line="5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4.2在任何情况下，采购机构和采购人对投标人发生的一切费用不承担义务和责任。</w:t>
      </w:r>
    </w:p>
    <w:p>
      <w:pPr>
        <w:spacing w:line="54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二、  招标文件</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 招标文件的组成</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5.1招标文件用以阐明所需货物及服务招标程序和合同主要条款。招标文件由下述部分组成：</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⑴ 投标邀请</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⑵ 投标人须知 </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⑶ 招标内容及要求</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⑷ 合同主要条款</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⑸ 投标文件格式</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bookmarkStart w:id="0" w:name="_Toc430489119"/>
      <w:bookmarkStart w:id="1" w:name="_Toc415567497"/>
      <w:bookmarkStart w:id="2" w:name="_Toc430422413"/>
      <w:bookmarkStart w:id="3" w:name="_Toc430492126"/>
      <w:bookmarkStart w:id="4" w:name="_Toc430488644"/>
      <w:bookmarkStart w:id="5" w:name="_Toc430490612"/>
      <w:bookmarkStart w:id="6" w:name="_Toc430488851"/>
      <w:r>
        <w:rPr>
          <w:rFonts w:hint="eastAsia" w:asciiTheme="minorEastAsia" w:hAnsiTheme="minorEastAsia" w:eastAsiaTheme="minorEastAsia" w:cstheme="minorEastAsia"/>
          <w:color w:val="000000" w:themeColor="text1"/>
          <w:sz w:val="24"/>
          <w14:textFill>
            <w14:solidFill>
              <w14:schemeClr w14:val="tx1"/>
            </w14:solidFill>
          </w14:textFill>
        </w:rPr>
        <w:t>6.</w:t>
      </w:r>
      <w:bookmarkEnd w:id="0"/>
      <w:bookmarkEnd w:id="1"/>
      <w:bookmarkEnd w:id="2"/>
      <w:bookmarkEnd w:id="3"/>
      <w:bookmarkEnd w:id="4"/>
      <w:bookmarkEnd w:id="5"/>
      <w:bookmarkEnd w:id="6"/>
      <w:r>
        <w:rPr>
          <w:rFonts w:hint="eastAsia" w:asciiTheme="minorEastAsia" w:hAnsiTheme="minorEastAsia" w:eastAsiaTheme="minorEastAsia" w:cstheme="minorEastAsia"/>
          <w:color w:val="000000" w:themeColor="text1"/>
          <w:sz w:val="24"/>
          <w14:textFill>
            <w14:solidFill>
              <w14:schemeClr w14:val="tx1"/>
            </w14:solidFill>
          </w14:textFill>
        </w:rPr>
        <w:t xml:space="preserve"> 招标文件的澄清</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6.1投标人对招标文件如有疑点，可要求澄清。要求澄清应按投标邀请中载明的地址以书面形式(包括信函、电报或传真，下同)通知招标代理人。招标代理人将视情况在投标截止时间15个日历日前将不标明查询来源的书面答复发给所有投标人，并在采购信息发布的媒体上发布澄清公告。该澄清内容为招标文件的组成部分。</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bookmarkStart w:id="7" w:name="_Toc415567498"/>
      <w:bookmarkStart w:id="8" w:name="_Toc430422414"/>
      <w:bookmarkStart w:id="9" w:name="_Toc430488852"/>
      <w:bookmarkStart w:id="10" w:name="_Toc430492127"/>
      <w:bookmarkStart w:id="11" w:name="_Toc430489120"/>
      <w:bookmarkStart w:id="12" w:name="_Toc430488645"/>
      <w:bookmarkStart w:id="13" w:name="_Toc430490613"/>
      <w:r>
        <w:rPr>
          <w:rFonts w:hint="eastAsia" w:asciiTheme="minorEastAsia" w:hAnsiTheme="minorEastAsia" w:eastAsiaTheme="minorEastAsia" w:cstheme="minorEastAsia"/>
          <w:color w:val="000000" w:themeColor="text1"/>
          <w:sz w:val="24"/>
          <w14:textFill>
            <w14:solidFill>
              <w14:schemeClr w14:val="tx1"/>
            </w14:solidFill>
          </w14:textFill>
        </w:rPr>
        <w:t>7. 招标文件的修改</w:t>
      </w:r>
      <w:bookmarkEnd w:id="7"/>
      <w:bookmarkEnd w:id="8"/>
      <w:bookmarkEnd w:id="9"/>
      <w:bookmarkEnd w:id="10"/>
      <w:bookmarkEnd w:id="11"/>
      <w:bookmarkEnd w:id="12"/>
      <w:bookmarkEnd w:id="13"/>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7.1至投标截止日期前15日，招标代理人可主动或依投标人要求澄清的问题而修改招标文件，并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7.2 为使投标人在准备投标文件时有合理的时间考虑招标文件的修改，招标代理人可酌情推迟投标截止时间和开标时间，但应当至少在投标截止时间三个日历日前将变更时间以书面形式通知所有投标人，并在采购信息发布的媒体上发布更正公告。该修改内容为招标文件的组成部分。在此情况下，招标人和投标人受投标截止期制约的所有权利和义务均应延长至新的截止日期。</w:t>
      </w:r>
    </w:p>
    <w:p>
      <w:pPr>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三、  投标文件的编写</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 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8.2招标人不接受有任何可选择性的报价，</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8.3中标人应保证招标人和招标代理人不受到第三方关于侵犯专利权的指控，任何第三方如果提出指控，中标人应与第三方交涉，承担可能发生的一切法律责任、费用和后果，并赔偿招标人和招标代理人的损失。</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8.4投标人不得以任何形式向与本项目无关的其他单位或人员提供招标文件及所附的有关资料，如违反，必须赔偿招标人和招标代理人的所有损失，且招标人和招标代理人保留追究法律责任的权力。</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8．5投标项目有品牌及规格型号的应与国家规定部门核发证件上的品牌及规格型号相一致。投标人提供评委无法认定的名称及规格型号，将被视为未实质性响应招标要求。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8．6投标人对招标要求应该响应的内容采取回避，或对本应提供的技术数据采取文字叙述答非所问、含糊不清、模凌两可的，将被视为未实质性响应招标要求。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8.7投标人随同投标文件提供的技术资料(含法定检测机构的测试报告、鉴定文件等)必须规范、完整，不能模棱两可、似是而非，否则将被视为未实质性响应招标要求。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8.8投标人应详细说明其投标产品的品牌型号、规格、配置、技术参数、性能指标、产地、制造商名称等。</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8.9投标人提供的产品制造标准、环保节能标准及技术规范等必须符合相应的国家标准、行业标准及规范要求。</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 投标文件语言</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9.1投标文件应用中文书写。投标文件中所附或所引用的原件不是中文时，应附中文译本，否则将不予采纳所引用的内容。</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9.2各种计量单位及符号应采用国际上统一使用的公制计量单位和符号。</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 投标文件的组成</w:t>
      </w:r>
    </w:p>
    <w:p>
      <w:pPr>
        <w:spacing w:line="4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10.1投标文件应包括下列部分：</w:t>
      </w:r>
    </w:p>
    <w:p>
      <w:pPr>
        <w:spacing w:line="5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第一部分 报价部分（单独编制装订胶装成册并密封）：</w:t>
      </w:r>
    </w:p>
    <w:p>
      <w:pPr>
        <w:spacing w:line="50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（1）开标一览表</w:t>
      </w:r>
    </w:p>
    <w:p>
      <w:pPr>
        <w:spacing w:line="5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sz w:val="24"/>
          <w14:textFill>
            <w14:solidFill>
              <w14:schemeClr w14:val="tx1"/>
            </w14:solidFill>
          </w14:textFill>
        </w:rPr>
        <w:t>资格及资信证明部分</w:t>
      </w:r>
      <w:r>
        <w:rPr>
          <w:rFonts w:hint="eastAsia" w:asciiTheme="minorEastAsia" w:hAnsiTheme="minorEastAsia" w:eastAsiaTheme="minorEastAsia" w:cstheme="minorEastAsia"/>
          <w:b/>
          <w:bCs/>
          <w:color w:val="000000" w:themeColor="text1"/>
          <w:sz w:val="24"/>
          <w14:textFill>
            <w14:solidFill>
              <w14:schemeClr w14:val="tx1"/>
            </w14:solidFill>
          </w14:textFill>
        </w:rPr>
        <w:t>（单独编制装订胶装成册并密封）：</w:t>
      </w:r>
    </w:p>
    <w:p>
      <w:pPr>
        <w:pStyle w:val="27"/>
        <w:widowControl/>
        <w:spacing w:before="100" w:after="100" w:line="460" w:lineRule="exact"/>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（1）投标书</w:t>
      </w:r>
    </w:p>
    <w:p>
      <w:pPr>
        <w:pStyle w:val="27"/>
        <w:widowControl/>
        <w:spacing w:before="100" w:after="100" w:line="460" w:lineRule="exact"/>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（2）投标人的资格及资信证明文件</w:t>
      </w:r>
    </w:p>
    <w:p>
      <w:pPr>
        <w:pStyle w:val="27"/>
        <w:widowControl/>
        <w:spacing w:before="100" w:after="100" w:line="460" w:lineRule="exact"/>
        <w:ind w:firstLine="480" w:firstLineChars="20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（3）投标保证金</w:t>
      </w:r>
    </w:p>
    <w:p>
      <w:pPr>
        <w:spacing w:line="460" w:lineRule="exact"/>
        <w:ind w:firstLine="48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第三部分 技术商务部分文件（单独编制装订胶装成册并密封</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 货物说明一览表</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（2）供货范围清单 </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（3）技术规格偏离表</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（4）商务偏离表</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（5）招标服务费承诺书</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（6）退回保证金说明函</w:t>
      </w:r>
    </w:p>
    <w:p>
      <w:pPr>
        <w:spacing w:line="46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（7）招标文件和法律法规要求提交的其他文件</w:t>
      </w:r>
    </w:p>
    <w:p>
      <w:pPr>
        <w:spacing w:line="4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10.3投标文件的“报价部分”、</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资格及资信证明部分</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“技术商务部分”必须分别装订成册，分册密封提交，否则，其投标视为无效投标。</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 投标有效期</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11.1投标文件从投标人须知前附表第5项所规定的投标截止期之后开始生效，在投标人须知前附表第4项所规定的期限内保持有效。有效期不足将导致其投标文件被拒绝。</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11.2特殊情况下招标代理人可于投标有效期满之前书面要求投标人同意延长有效期，投标人应在招标代理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 投标保证金</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 投标保证金为投标文件的组成部分之一。</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12.2 投标人应在提交投标文件之前向招标代理人缴交投标人须知前附表第5项要求的投标保证金。</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12.3 投标保证金用于保护本次招标活动免受投标人的行为而引起的风险。</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12.4投标保证金以转账或电汇形式提交，不直接接受现金或汇票；保证金以投标文件递交截止时间前到帐为准。投标人在缴纳保证金时必须以自己的账户或自己的名称缴纳，不得以投标代表个人的名称缴纳。</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12.5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12.6未按规定缴交投标保证金的投标，将被视为无效投标。</w:t>
      </w:r>
    </w:p>
    <w:p>
      <w:pPr>
        <w:spacing w:line="400" w:lineRule="exact"/>
        <w:ind w:left="239" w:leftChars="114" w:firstLine="240" w:firstLineChars="1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12.7招标代理人将在中标通知书发出之日后予以原额无息退还中标人以外的投标人的投标保</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证金。</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12.8确定中标结果后，中标人凭招标人开具的购销合同和验收报告，中标人的投标保证金予以原额无息退还。</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12.9投标保证金的有效期为投标有效期满后的90个日历日。</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12.10退回保证金时投标人所提供的账户必须是自己的账户、开户名，否则不予办理，退回时将采用转账或电汇方式。</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12.11发生以下情况之一的，投标保证金将不予退还：</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⑴ 投标人在投标截止期后，在投标有效期内撤回投标；</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⑵ 中标人未能做到按本须知的规定签订合同；</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⑶ 中标人未按投标人须知前附表规定缴纳招标服务费；</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⑷ 以他人名义投标或者以其他方式弄虚作假；</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⑸ 本招标文件中规定的其他取消投标保证金的情形。</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上述不予退还投标保证金的情况给招标人造成损失的，还要承担赔偿责任。</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 投标文件的格式</w:t>
      </w:r>
    </w:p>
    <w:p>
      <w:pPr>
        <w:spacing w:line="360" w:lineRule="auto"/>
        <w:rPr>
          <w:rFonts w:hint="eastAsia" w:ascii="宋体" w:hAnsi="宋体" w:cs="宋体"/>
          <w:b/>
          <w:color w:val="000000" w:themeColor="text1"/>
          <w:sz w:val="24"/>
          <w:shd w:val="pct10" w:color="auto" w:fill="FFFFFF"/>
          <w14:textFill>
            <w14:solidFill>
              <w14:schemeClr w14:val="tx1"/>
            </w14:solidFill>
          </w14:textFill>
        </w:rPr>
      </w:pPr>
      <w:r>
        <w:rPr>
          <w:rFonts w:hint="eastAsia" w:ascii="宋体" w:hAnsi="宋体" w:cs="宋体"/>
          <w:b/>
          <w:color w:val="000000" w:themeColor="text1"/>
          <w:sz w:val="24"/>
          <w:shd w:val="pct10" w:color="auto" w:fill="FFFFFF"/>
          <w14:textFill>
            <w14:solidFill>
              <w14:schemeClr w14:val="tx1"/>
            </w14:solidFill>
          </w14:textFill>
        </w:rPr>
        <w:t>13.1投标人须编制由本须知第10条规定文件组成的投标文件正本一份，副本肆份，电子版一份，(报价部分、</w:t>
      </w:r>
      <w:r>
        <w:rPr>
          <w:rFonts w:hint="eastAsia" w:ascii="宋体" w:hAnsi="宋体" w:cs="宋体"/>
          <w:b/>
          <w:color w:val="000000" w:themeColor="text1"/>
          <w:sz w:val="24"/>
          <w14:textFill>
            <w14:solidFill>
              <w14:schemeClr w14:val="tx1"/>
            </w14:solidFill>
          </w14:textFill>
        </w:rPr>
        <w:t>资格及资信证明部分、</w:t>
      </w:r>
      <w:r>
        <w:rPr>
          <w:rFonts w:hint="eastAsia" w:ascii="宋体" w:hAnsi="宋体" w:cs="宋体"/>
          <w:b/>
          <w:color w:val="000000" w:themeColor="text1"/>
          <w:sz w:val="24"/>
          <w:shd w:val="pct10" w:color="auto" w:fill="FFFFFF"/>
          <w14:textFill>
            <w14:solidFill>
              <w14:schemeClr w14:val="tx1"/>
            </w14:solidFill>
          </w14:textFill>
        </w:rPr>
        <w:t>技术商务部分需单独装订胶装，分册密封投标，电子版需单独密封)，正本、副本必须用A4幅面纸张打印装订成册(含产品彩页)，应编制封面目录、页码，必须用胶装(为永久性、无破坏不可拆的)并加盖骑缝章或逐页盖章。副本可以用正本的完整复印件，并在封面标明“正本”、“副本”字样。正本与副本如有不一致，则以正本为准。(注：若未按要求装订胶装或投标文件技术商务部分出现投标报价，视为无效投标。)</w:t>
      </w:r>
    </w:p>
    <w:p>
      <w:pPr>
        <w:spacing w:line="400" w:lineRule="exact"/>
        <w:ind w:firstLine="482" w:firstLineChars="200"/>
        <w:rPr>
          <w:rFonts w:hint="eastAsia" w:ascii="宋体" w:hAnsi="宋体" w:cs="宋体"/>
          <w:b/>
          <w:color w:val="000000" w:themeColor="text1"/>
          <w:sz w:val="24"/>
          <w:shd w:val="pct10" w:color="auto" w:fill="FFFFFF"/>
          <w14:textFill>
            <w14:solidFill>
              <w14:schemeClr w14:val="tx1"/>
            </w14:solidFill>
          </w14:textFill>
        </w:rPr>
      </w:pPr>
      <w:r>
        <w:rPr>
          <w:rFonts w:hint="eastAsia" w:ascii="宋体" w:hAnsi="宋体" w:cs="宋体"/>
          <w:b/>
          <w:color w:val="000000" w:themeColor="text1"/>
          <w:sz w:val="24"/>
          <w:shd w:val="pct10" w:color="auto" w:fill="FFFFFF"/>
          <w14:textFill>
            <w14:solidFill>
              <w14:schemeClr w14:val="tx1"/>
            </w14:solidFill>
          </w14:textFill>
        </w:rPr>
        <w:t>13.2投标文件由报价部分、</w:t>
      </w:r>
      <w:r>
        <w:rPr>
          <w:rFonts w:hint="eastAsia" w:ascii="宋体" w:hAnsi="宋体" w:cs="宋体"/>
          <w:b/>
          <w:color w:val="000000" w:themeColor="text1"/>
          <w:sz w:val="24"/>
          <w14:textFill>
            <w14:solidFill>
              <w14:schemeClr w14:val="tx1"/>
            </w14:solidFill>
          </w14:textFill>
        </w:rPr>
        <w:t>资格及资信证明部分、</w:t>
      </w:r>
      <w:r>
        <w:rPr>
          <w:rFonts w:hint="eastAsia" w:ascii="宋体" w:hAnsi="宋体" w:cs="宋体"/>
          <w:b/>
          <w:color w:val="000000" w:themeColor="text1"/>
          <w:sz w:val="24"/>
          <w:shd w:val="pct10" w:color="auto" w:fill="FFFFFF"/>
          <w14:textFill>
            <w14:solidFill>
              <w14:schemeClr w14:val="tx1"/>
            </w14:solidFill>
          </w14:textFill>
        </w:rPr>
        <w:t>技术商务部分组成，在投标文件封面上和密封袋上标明 “报价部分”、“</w:t>
      </w:r>
      <w:r>
        <w:rPr>
          <w:rFonts w:hint="eastAsia" w:ascii="宋体" w:hAnsi="宋体" w:cs="宋体"/>
          <w:b/>
          <w:color w:val="000000" w:themeColor="text1"/>
          <w:sz w:val="24"/>
          <w14:textFill>
            <w14:solidFill>
              <w14:schemeClr w14:val="tx1"/>
            </w14:solidFill>
          </w14:textFill>
        </w:rPr>
        <w:t>资格及资信证明部分</w:t>
      </w:r>
      <w:r>
        <w:rPr>
          <w:rFonts w:hint="eastAsia" w:ascii="宋体" w:hAnsi="宋体" w:cs="宋体"/>
          <w:b/>
          <w:color w:val="000000" w:themeColor="text1"/>
          <w:sz w:val="24"/>
          <w:shd w:val="pct10"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shd w:val="pct10" w:color="auto" w:fill="FFFFFF"/>
          <w14:textFill>
            <w14:solidFill>
              <w14:schemeClr w14:val="tx1"/>
            </w14:solidFill>
          </w14:textFill>
        </w:rPr>
        <w:t>“技术商务部分”； 副本应与正本一致，可以用正本的完整复印件，并在封面标明“副本”字样。</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13.3除非有另外的规定或许可，投标使用货币为人民币。</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13.5 投标文件的正本和全部副本均应使用不能擦去的墨料或墨水打印、书写，并由法定代表人或其授权代表(投标代表)签署，盖投标人公章，并用投标人公章盖好骑缝章，相关证件必须每页加盖公章。</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13.6全套投标文件应无涂改和行间插字，除非这些改动是根据招标代理人的指示进行的，或者是为改正投标人造成的必须修改的错误而进行的。有改动时，修改处应由授权代表签署证明或加盖校正章。 </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13.7未按本须知规定的格式填写投标文件、投标文件字迹模糊不清的，其投标将被拒绝。</w:t>
      </w:r>
    </w:p>
    <w:p>
      <w:pPr>
        <w:spacing w:line="400" w:lineRule="exact"/>
        <w:ind w:firstLine="480"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13.8</w:t>
      </w:r>
      <w:r>
        <w:rPr>
          <w:rFonts w:hint="eastAsia" w:asciiTheme="minorEastAsia" w:hAnsiTheme="minorEastAsia" w:eastAsiaTheme="minorEastAsia" w:cstheme="minorEastAsia"/>
          <w:b/>
          <w:bCs/>
          <w:color w:val="000000" w:themeColor="text1"/>
          <w:sz w:val="24"/>
          <w14:textFill>
            <w14:solidFill>
              <w14:schemeClr w14:val="tx1"/>
            </w14:solidFill>
          </w14:textFill>
        </w:rPr>
        <w:t>所有资格证明文件复印件须注明“与原件一致”并加盖投标人公章(有有效期的证书，必须在有效期内，否则将视为无效或虚假材料)。</w:t>
      </w:r>
    </w:p>
    <w:p>
      <w:pPr>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 投标文件的提交</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14.投标文件的密封、标记和递交</w:t>
      </w:r>
    </w:p>
    <w:p>
      <w:pPr>
        <w:spacing w:line="400" w:lineRule="exact"/>
        <w:ind w:firstLine="480"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14.1 </w:t>
      </w:r>
      <w:r>
        <w:rPr>
          <w:rFonts w:hint="eastAsia" w:asciiTheme="minorEastAsia" w:hAnsiTheme="minorEastAsia" w:eastAsiaTheme="minorEastAsia" w:cstheme="minorEastAsia"/>
          <w:b/>
          <w:bCs/>
          <w:color w:val="000000" w:themeColor="text1"/>
          <w:sz w:val="24"/>
          <w14:textFill>
            <w14:solidFill>
              <w14:schemeClr w14:val="tx1"/>
            </w14:solidFill>
          </w14:textFill>
        </w:rPr>
        <w:t>投标人应将投标文件的正本和全部副本分别用信封密封，并标明招标编号、投标人名称、投标货物名称及“正本”或“副本”字样，在信封每一处封口的骑缝处均要签字或盖章。投标文件未密封完整将导致投标被拒绝。</w:t>
      </w:r>
    </w:p>
    <w:p>
      <w:pPr>
        <w:spacing w:line="400" w:lineRule="exact"/>
        <w:ind w:firstLine="480"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14.2 </w:t>
      </w:r>
      <w:r>
        <w:rPr>
          <w:rFonts w:hint="eastAsia" w:asciiTheme="minorEastAsia" w:hAnsiTheme="minorEastAsia" w:eastAsiaTheme="minorEastAsia" w:cstheme="minorEastAsia"/>
          <w:b/>
          <w:bCs/>
          <w:color w:val="000000" w:themeColor="text1"/>
          <w:sz w:val="24"/>
          <w14:textFill>
            <w14:solidFill>
              <w14:schemeClr w14:val="tx1"/>
            </w14:solidFill>
          </w14:textFill>
        </w:rPr>
        <w:t>每一信封密封处应注明“  年  月  日  时  分(指招标邀请中规定的开标日期及时间)不准启封”的字样，并签字或盖章。</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14.3如果投标文件由邮局或专人送交，投标人应将投标文件按照本须知第14.1条至第14.1条的规定进行密封和标记后，按投标人须知前附表注明的地址送至接收人。</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14.4如果未按上述规定进行密封和标记，招标代理人将不承担由此造成的对投标文件的误投或提前拆封的责任。</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14.5投标文件应在投标邀请中规定的截止时间前送达，迟到的投标文件为无效投标文件，将被拒收。</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14.6投标人在投标截止时间前，可以对所提交的投标文件进行修改或者撤回，并书面通知招标代理人。修改的内容和撤回通知应当按本须知要求签署、盖章、密封，并作为投标文件的组成部分。</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14.7投标人在投标截止期后不得修改、撤回投标文件。投标人在投标截止期后修改投标文件的，其投标被拒绝。</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14.8</w:t>
      </w:r>
      <w:r>
        <w:rPr>
          <w:rFonts w:hint="eastAsia" w:asciiTheme="minorEastAsia" w:hAnsiTheme="minorEastAsia" w:eastAsiaTheme="minorEastAsia" w:cstheme="minorEastAsia"/>
          <w:b/>
          <w:bCs w:val="0"/>
          <w:color w:val="000000" w:themeColor="text1"/>
          <w:sz w:val="24"/>
          <w:shd w:val="pct10" w:color="auto" w:fill="FFFFFF"/>
          <w14:textFill>
            <w14:solidFill>
              <w14:schemeClr w14:val="tx1"/>
            </w14:solidFill>
          </w14:textFill>
        </w:rPr>
        <w:t>投标截止时间结束后参加投标的投标人不足三家的，本次招标程序终止，除采购任务取消情形外，招标人将依法重新组织招标或者采取其他方式采购。</w:t>
      </w:r>
    </w:p>
    <w:p>
      <w:pPr>
        <w:spacing w:line="54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五、  投标文件的评估和比较</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15．开标、评标时间</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15.1 本项目将在投标人须知前附表中所规定的时间、地点开标。</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15.2开标由招标代理人主持，招标人、投标人和有关方面代表参加。所有投标人应派授权代表参加开标会，并签到。</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15.3 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未当场提出书面异议的（含未确认），视同认可开标记录。</w:t>
      </w:r>
    </w:p>
    <w:p>
      <w:pPr>
        <w:widowControl/>
        <w:spacing w:before="75" w:after="75" w:line="276" w:lineRule="auto"/>
        <w:jc w:val="center"/>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 xml:space="preserve"> （一）、资格审查</w:t>
      </w:r>
    </w:p>
    <w:p>
      <w:pPr>
        <w:pStyle w:val="27"/>
        <w:spacing w:before="75" w:after="75"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1、开标结束后，</w:t>
      </w:r>
      <w:r>
        <w:rPr>
          <w:rFonts w:hint="eastAsia" w:asciiTheme="minorEastAsia" w:hAnsiTheme="minorEastAsia" w:eastAsiaTheme="minorEastAsia" w:cstheme="minorEastAsia"/>
          <w:color w:val="000000" w:themeColor="text1"/>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14:textFill>
            <w14:solidFill>
              <w14:schemeClr w14:val="tx1"/>
            </w14:solidFill>
          </w14:textFill>
        </w:rPr>
        <w:t>负责资格审查小组的组建及资格审查工作的组织。</w:t>
      </w:r>
    </w:p>
    <w:p>
      <w:pPr>
        <w:pStyle w:val="27"/>
        <w:spacing w:before="75" w:after="75"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1.1资格审查小组由3人组成，并负责具体审查事务，其中：由采购人派出的采购人代表至少</w:t>
      </w:r>
      <w:r>
        <w:rPr>
          <w:rFonts w:hint="eastAsia" w:asciiTheme="minorEastAsia" w:hAnsiTheme="minorEastAsia" w:eastAsiaTheme="minorEastAsia" w:cstheme="minorEastAsia"/>
          <w:color w:val="000000" w:themeColor="text1"/>
          <w:u w:val="single"/>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人，由</w:t>
      </w:r>
      <w:r>
        <w:rPr>
          <w:rFonts w:hint="eastAsia" w:asciiTheme="minorEastAsia" w:hAnsiTheme="minorEastAsia" w:eastAsiaTheme="minorEastAsia" w:cstheme="minorEastAsia"/>
          <w:color w:val="000000" w:themeColor="text1"/>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14:textFill>
            <w14:solidFill>
              <w14:schemeClr w14:val="tx1"/>
            </w14:solidFill>
          </w14:textFill>
        </w:rPr>
        <w:t>派出的工作人员至少</w:t>
      </w:r>
      <w:r>
        <w:rPr>
          <w:rFonts w:hint="eastAsia" w:asciiTheme="minorEastAsia" w:hAnsiTheme="minorEastAsia" w:eastAsiaTheme="minorEastAsia" w:cstheme="minorEastAsia"/>
          <w:color w:val="000000" w:themeColor="text1"/>
          <w:u w:val="single"/>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人，其余</w:t>
      </w:r>
      <w:r>
        <w:rPr>
          <w:rFonts w:hint="eastAsia" w:asciiTheme="minorEastAsia" w:hAnsiTheme="minorEastAsia" w:eastAsiaTheme="minorEastAsia" w:cstheme="minorEastAsia"/>
          <w:color w:val="000000" w:themeColor="text1"/>
          <w:u w:val="single"/>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人可为采购人代表或</w:t>
      </w:r>
      <w:r>
        <w:rPr>
          <w:rFonts w:hint="eastAsia" w:asciiTheme="minorEastAsia" w:hAnsiTheme="minorEastAsia" w:eastAsiaTheme="minorEastAsia" w:cstheme="minorEastAsia"/>
          <w:color w:val="000000" w:themeColor="text1"/>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14:textFill>
            <w14:solidFill>
              <w14:schemeClr w14:val="tx1"/>
            </w14:solidFill>
          </w14:textFill>
        </w:rPr>
        <w:t>的工作人员。</w:t>
      </w:r>
    </w:p>
    <w:p>
      <w:pPr>
        <w:pStyle w:val="27"/>
        <w:spacing w:before="75" w:after="75"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1.2资格审查的依据是招标文件和投标文件。</w:t>
      </w:r>
    </w:p>
    <w:p>
      <w:pPr>
        <w:pStyle w:val="27"/>
        <w:spacing w:before="75" w:after="75"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1.3资格审查的范围及内容：投标文件（资格及资信证明部分），具体如下：</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①“投标函”；</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②“投标人的资格及资信证明文件”</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a.一般资格证明文件：详见第二章《投标人须知前附表》2。</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③投标保证金。</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1.4有下列情形之一的，</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资格审查不合格：</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一般情形：</w:t>
      </w:r>
    </w:p>
    <w:tbl>
      <w:tblPr>
        <w:tblStyle w:val="29"/>
        <w:tblW w:w="953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序号</w:t>
            </w:r>
          </w:p>
        </w:tc>
        <w:tc>
          <w:tcPr>
            <w:tcW w:w="868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8"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a1</w:t>
            </w:r>
          </w:p>
        </w:tc>
        <w:tc>
          <w:tcPr>
            <w:tcW w:w="8689" w:type="dxa"/>
            <w:tcMar>
              <w:top w:w="0" w:type="dxa"/>
              <w:left w:w="105" w:type="dxa"/>
              <w:bottom w:w="0" w:type="dxa"/>
              <w:right w:w="105" w:type="dxa"/>
            </w:tcMar>
          </w:tcPr>
          <w:p>
            <w:pPr>
              <w:widowControl/>
              <w:spacing w:line="276"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a2</w:t>
            </w:r>
          </w:p>
        </w:tc>
        <w:tc>
          <w:tcPr>
            <w:tcW w:w="8689" w:type="dxa"/>
            <w:tcMar>
              <w:top w:w="0" w:type="dxa"/>
              <w:left w:w="105" w:type="dxa"/>
              <w:bottom w:w="0" w:type="dxa"/>
              <w:right w:w="105" w:type="dxa"/>
            </w:tcMar>
          </w:tcPr>
          <w:p>
            <w:pPr>
              <w:widowControl/>
              <w:spacing w:line="276"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a3</w:t>
            </w:r>
          </w:p>
        </w:tc>
        <w:tc>
          <w:tcPr>
            <w:tcW w:w="8689" w:type="dxa"/>
            <w:tcMar>
              <w:top w:w="0" w:type="dxa"/>
              <w:left w:w="105" w:type="dxa"/>
              <w:bottom w:w="0" w:type="dxa"/>
              <w:right w:w="105" w:type="dxa"/>
            </w:tcMar>
          </w:tcPr>
          <w:p>
            <w:pPr>
              <w:widowControl/>
              <w:spacing w:line="276"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未按照招标文件规定提交投标保证金。</w:t>
            </w:r>
          </w:p>
        </w:tc>
      </w:tr>
    </w:tbl>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2、资格审查情况不得私自外泄，有关信息由</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统一对外发布。</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3、资格审查合格的投标人不足三家的，不进行评标。同时，本次采购活动结束，</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将依法组织后续采购活动（包括但不限于：重新招标、采用其他方式采购等）。</w:t>
      </w:r>
    </w:p>
    <w:p>
      <w:pPr>
        <w:widowControl/>
        <w:spacing w:before="75" w:after="75"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（二）、评标</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负责评标委员会的组建及评标工作的组织。</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5、评标委员会</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5.1评标委员会由采购人代表和评标专家两部分共</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5</w:t>
      </w:r>
      <w:r>
        <w:rPr>
          <w:rFonts w:hint="eastAsia" w:asciiTheme="minorEastAsia" w:hAnsiTheme="minorEastAsia" w:eastAsiaTheme="minorEastAsia" w:cstheme="minorEastAsia"/>
          <w:color w:val="000000" w:themeColor="text1"/>
          <w:kern w:val="0"/>
          <w:sz w:val="24"/>
          <w14:textFill>
            <w14:solidFill>
              <w14:schemeClr w14:val="tx1"/>
            </w14:solidFill>
          </w14:textFill>
        </w:rPr>
        <w:t>人（以下简称“评委”）组成，其中：由采购人派出的采购人代表</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人，由莆田市政府采购评审专家库产生的评标专家</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4</w:t>
      </w:r>
      <w:r>
        <w:rPr>
          <w:rFonts w:hint="eastAsia" w:asciiTheme="minorEastAsia" w:hAnsiTheme="minorEastAsia" w:eastAsiaTheme="minorEastAsia" w:cstheme="minorEastAsia"/>
          <w:color w:val="000000" w:themeColor="text1"/>
          <w:kern w:val="0"/>
          <w:sz w:val="24"/>
          <w14:textFill>
            <w14:solidFill>
              <w14:schemeClr w14:val="tx1"/>
            </w14:solidFill>
          </w14:textFill>
        </w:rPr>
        <w:t>人。</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5.2评标委员会负责具体评标事务，并按照下列原则依法独立履行有关职责：</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（1）评标应保护国家利益、社会公共利益和各方当事人合法权益，提高采购效益，保证项目质量。</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（2）评标应遵循公平、公正、科学、严谨和择优原则。</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（3）评标的依据是招标文件和投标文件。</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（4）应按照招标文件规定推荐中标候选人或确定中标人。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（5）评标应遵守下列评标纪律：</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①评标情况不得私自外泄，有关信息由</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统一对外发布。</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②对</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福建莆田恒顺招标代理有限公司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或投标人提供的要求保密的资料，不得摘记翻印和外传。</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④全体评委应按照招标文件规定进行评标，一切认定事项应查有实据且不得弄虚作假。</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⑤评标中应充分发扬民主，推荐中标候选人或确定中标人后要服从评标报告。</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※对违反评标纪律的评委，将取消其评委资格，对评标工作造成严重损失者将予以通报批评乃至追究法律责任。</w:t>
      </w:r>
    </w:p>
    <w:p>
      <w:pPr>
        <w:widowControl/>
        <w:spacing w:before="75" w:after="75"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6、评标程序</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6.1评标前的准备工作</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（1）全体评委应认真审阅招标文件，了解评委应履行或遵守的职责、义务和评标纪律。</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6.2符合性审查</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（2）满足招标文件的实质性要求指投标文件对招标文件实质性要求的响应不存在重大偏差或保留。</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（5）评标委员会对所有投标人都执行相同的程序和标准。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（6）有下列情形之一的，</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符合性审查不合格：</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①一般情形：</w:t>
      </w:r>
    </w:p>
    <w:tbl>
      <w:tblPr>
        <w:tblStyle w:val="29"/>
        <w:tblW w:w="971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1"/>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 w:hRule="atLeast"/>
          <w:tblCellSpacing w:w="15" w:type="dxa"/>
        </w:trPr>
        <w:tc>
          <w:tcPr>
            <w:tcW w:w="92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序号</w:t>
            </w:r>
          </w:p>
        </w:tc>
        <w:tc>
          <w:tcPr>
            <w:tcW w:w="8702"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 w:hRule="atLeast"/>
          <w:tblCellSpacing w:w="15" w:type="dxa"/>
        </w:trPr>
        <w:tc>
          <w:tcPr>
            <w:tcW w:w="92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a1</w:t>
            </w:r>
          </w:p>
        </w:tc>
        <w:tc>
          <w:tcPr>
            <w:tcW w:w="8702" w:type="dxa"/>
            <w:tcMar>
              <w:top w:w="0" w:type="dxa"/>
              <w:left w:w="105" w:type="dxa"/>
              <w:bottom w:w="0" w:type="dxa"/>
              <w:right w:w="105" w:type="dxa"/>
            </w:tcMar>
            <w:vAlign w:val="center"/>
          </w:tcPr>
          <w:p>
            <w:pPr>
              <w:widowControl/>
              <w:spacing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违反招标文件中载明“</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r>
              <w:rPr>
                <w:rFonts w:hint="eastAsia" w:asciiTheme="minorEastAsia" w:hAnsiTheme="minorEastAsia" w:eastAsiaTheme="minorEastAsia" w:cstheme="minorEastAsia"/>
                <w:color w:val="000000" w:themeColor="text1"/>
                <w:kern w:val="0"/>
                <w:sz w:val="24"/>
                <w14:textFill>
                  <w14:solidFill>
                    <w14:schemeClr w14:val="tx1"/>
                  </w14:solidFill>
                </w14:textFill>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8" w:hRule="atLeast"/>
          <w:tblCellSpacing w:w="15" w:type="dxa"/>
        </w:trPr>
        <w:tc>
          <w:tcPr>
            <w:tcW w:w="92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a2</w:t>
            </w:r>
          </w:p>
        </w:tc>
        <w:tc>
          <w:tcPr>
            <w:tcW w:w="8702" w:type="dxa"/>
            <w:tcMar>
              <w:top w:w="0" w:type="dxa"/>
              <w:left w:w="105" w:type="dxa"/>
              <w:bottom w:w="0" w:type="dxa"/>
              <w:right w:w="105" w:type="dxa"/>
            </w:tcMar>
            <w:vAlign w:val="center"/>
          </w:tcPr>
          <w:p>
            <w:pPr>
              <w:widowControl/>
              <w:spacing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投标文件对招标文件实质性要求的响应存在重大偏离或保留。</w:t>
            </w:r>
          </w:p>
        </w:tc>
      </w:tr>
    </w:tbl>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6.3澄清有关问题</w:t>
      </w:r>
    </w:p>
    <w:p>
      <w:pPr>
        <w:widowControl/>
        <w:spacing w:before="75" w:after="75" w:line="360" w:lineRule="auto"/>
        <w:ind w:firstLine="42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（3）投标文件报价出现前后不一致的，除招标文件另有规定外，按照下列规定修正：</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①开标一览表内容与投标文件中相应内容不一致的，以开标一览表为准；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②大写金额和小写金额不一致的，以大写金额为准；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③单价金额小数点或百分比有明显错位的，以开标一览表的总价为准，并修改单价；</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④总价金额与按照单价汇总金额不一致的，以单价金额计算结果为准。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（4）关于细微偏差</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（5）关于投标描述（即投标文件中描述的内容）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①投标描述前后不一致且不涉及证明材料的：按照本章第6.3条第（1）、（2）款规定执行。</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②投标描述与证明材料不一致或多份证明材料之间不一致的：</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a.评标委员会将要求投标人进行书面澄清，并按照不利于投标人的内容进行评标。</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6.4比较与评价</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（1）按照本章第7条载明的评标方法和标准，对符合性审查合格的投标文件进行比较与评价。</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14:textFill>
            <w14:solidFill>
              <w14:schemeClr w14:val="tx1"/>
            </w14:solidFill>
          </w14:textFill>
        </w:rPr>
        <w:t>关于相同品牌产品</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（政府采购服务类项目不适用本条款规定）</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a.招标文件规定的方式：</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无</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b.招标文件未规定的，采取随机抽取方式确定，其他</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a.招标文件规定的方式：</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无</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b.招标文件未规定的，采取随机抽取方式确定，其他同品牌投标人不作为中标候选人。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③非单一产品采购项目，多家投标人提供的核心产品品牌相同的，按照本章第6.4条第（2）款第①、②规定处理。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（3）漏（缺）项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①招标文件中要求列入报价的费用（含配置、功能），漏（缺）项的报价视为已经包括在投标总价中。</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②对多报项及赠送项的价格评标时不予核减，全部进入评标价评议。</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6.5推荐中标候选人：详见本章第7.2条规定。</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6.6编写评标报告</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（1）评标报告由评标委员会负责编写。</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（2）评标报告应包括下列内容：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①招标公告刊登的网站名称、开标日期和地点；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②投标人名单和评标委员会成员名单；</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③评标方法和标准；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④开标记录和评标情况及说明，包括无效投标人名单及原因；</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⑤评标结果，包括中标候选人名单或确定的中标人；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⑥其他需要说明的情况，包括但不限于：评标过程中投标人的澄清、说明或补正，评委更换等。</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r>
        <w:rPr>
          <w:rFonts w:hint="eastAsia" w:asciiTheme="minorEastAsia" w:hAnsiTheme="minorEastAsia" w:eastAsiaTheme="minorEastAsia" w:cstheme="minorEastAsia"/>
          <w:color w:val="000000" w:themeColor="text1"/>
          <w:kern w:val="0"/>
          <w:sz w:val="24"/>
          <w14:textFill>
            <w14:solidFill>
              <w14:schemeClr w14:val="tx1"/>
            </w14:solidFill>
          </w14:textFill>
        </w:rPr>
        <w:t>处理。</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6.8评委对需要共同认定的事项存在争议的，应按照少数服从多数的原则进行认定。</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持不同意见的评委应在评标报告上签署不同意见及理由，否则视为同意评标报告。</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6.9在评标过程中发现投标人有下列情形之一的，评标委员会应认定其</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r>
        <w:rPr>
          <w:rFonts w:hint="eastAsia" w:asciiTheme="minorEastAsia" w:hAnsiTheme="minorEastAsia" w:eastAsiaTheme="minorEastAsia" w:cstheme="minorEastAsia"/>
          <w:color w:val="000000" w:themeColor="text1"/>
          <w:kern w:val="0"/>
          <w:sz w:val="24"/>
          <w14:textFill>
            <w14:solidFill>
              <w14:schemeClr w14:val="tx1"/>
            </w14:solidFill>
          </w14:textFill>
        </w:rPr>
        <w:t>，并书面报告本项目监督管理部门：</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（1）恶意串通（包括但不限于招标文件中规定的情形）；</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（2）妨碍其他投标人的竞争行为；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（3）损害采购人或其他投标人的合法权益。</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6.10评标过程中，有下列情形之一的，应予废标：</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（1）符合性审查合格的投标人不足三家的；</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（2）有关法律、法规和规章规定废标的情形。</w:t>
      </w:r>
    </w:p>
    <w:p>
      <w:pPr>
        <w:widowControl/>
        <w:spacing w:before="75" w:after="75" w:line="360" w:lineRule="auto"/>
        <w:ind w:firstLine="48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※若废标，则本次采购活动结束，</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福建莆田恒顺招标代理有限公司</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将依法组织后续采购活动（包括但不限于：重新招标、采用其他方式采购等）。</w:t>
      </w:r>
    </w:p>
    <w:p>
      <w:pPr>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  定标与签订合同</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20.定标准则</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20.1</w:t>
      </w: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评分方法：采用综合评分法</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20.2投标人的投标文件符合招标文件要求，按招标文件确定评标标准、方法，经评委评审并推荐为一名中标候选人。</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 中标通知</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  评标结束后，评标结果经招标人确认后，招标代理人方将在刊登本采购项目招标公告的媒介上对中标结果进行公示。公示后，招标代理人将向中标生产厂家发出中标通知书。中标通知书对招标人和中标生产厂家具有同等法律效力。中标通知书发出后，招标人改变中标结果，或者中标生产厂家放弃中标，应按相关法律、规章、规范性文件的要求承担相应的法律责任。投标人对中标公告有异议的，应当在知道或应当知道其权益受到损害之日起7个工作日内，以书面形式向招标人或招标代理人提出质疑。</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21.2《中标通知书》发出同时应将落标通知没有中标的其它投标人。</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21.3《中标通知书》将作为签订合同的依据。《合同》签订后，《中标通知书》成为《合同》的一部分。</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22.签订合同要求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22.1 </w:t>
      </w:r>
      <w:r>
        <w:rPr>
          <w:rFonts w:hint="eastAsia" w:asciiTheme="minorEastAsia" w:hAnsiTheme="minorEastAsia" w:eastAsiaTheme="minorEastAsia" w:cstheme="minorEastAsia"/>
          <w:b/>
          <w:color w:val="000000" w:themeColor="text1"/>
          <w:sz w:val="24"/>
          <w14:textFill>
            <w14:solidFill>
              <w14:schemeClr w14:val="tx1"/>
            </w14:solidFill>
          </w14:textFill>
        </w:rPr>
        <w:t>中标人须在接到中标通知书之日起15天内与采购人签订合同，不按规定时限与采购人签订合同，招标人有权没收中标人的投标保证金，并取消其中标资格。</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23.招标项目行政监督部门</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24.1招标项目行政监督部门可视情依法派员对本招标活动的全程进行监督。</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24.2投标人如对招标活动有异议，可以书面形式向招标人或招标代理人提出质疑。招标人或招标代理人作出书面答复后，若投标人不满意的，可在答复期满后十五日内按照有关规定向投标须知前附表第9项所述招标项目行政监督部门投诉。</w:t>
      </w:r>
    </w:p>
    <w:p>
      <w:pPr>
        <w:pStyle w:val="4"/>
        <w:numPr>
          <w:ilvl w:val="0"/>
          <w:numId w:val="5"/>
        </w:numPr>
        <w:snapToGrid w:val="0"/>
        <w:spacing w:line="720" w:lineRule="exact"/>
        <w:ind w:firstLine="0"/>
        <w:jc w:val="center"/>
        <w:rPr>
          <w:rFonts w:hint="eastAsia" w:asciiTheme="minorEastAsia" w:hAnsiTheme="minorEastAsia" w:eastAsiaTheme="minorEastAsia" w:cstheme="minorEastAsia"/>
          <w:b/>
          <w:color w:val="000000" w:themeColor="text1"/>
          <w:sz w:val="36"/>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24"/>
          <w14:textFill>
            <w14:solidFill>
              <w14:schemeClr w14:val="tx1"/>
            </w14:solidFill>
          </w14:textFill>
        </w:rPr>
        <w:t xml:space="preserve"> 招标内容及要求</w:t>
      </w:r>
    </w:p>
    <w:p>
      <w:pPr>
        <w:pStyle w:val="4"/>
        <w:numPr>
          <w:ilvl w:val="0"/>
          <w:numId w:val="0"/>
        </w:numPr>
        <w:snapToGrid w:val="0"/>
        <w:spacing w:line="720" w:lineRule="exact"/>
        <w:jc w:val="both"/>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一、技术招标内容：</w:t>
      </w:r>
    </w:p>
    <w:p>
      <w:pPr>
        <w:pStyle w:val="5"/>
        <w:pageBreakBefore w:val="0"/>
        <w:kinsoku/>
        <w:wordWrap/>
        <w:overflowPunct/>
        <w:topLinePunct w:val="0"/>
        <w:autoSpaceDE/>
        <w:autoSpaceDN/>
        <w:bidi w:val="0"/>
        <w:adjustRightInd/>
        <w:spacing w:before="156" w:beforeLines="50" w:after="156" w:afterLines="50"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bookmarkStart w:id="14" w:name="_Toc332955991"/>
      <w:bookmarkStart w:id="15" w:name="_Toc522293778"/>
      <w:bookmarkStart w:id="16" w:name="_Toc422418132"/>
      <w:bookmarkStart w:id="17" w:name="_Toc10035513"/>
      <w:bookmarkStart w:id="18" w:name="_Toc429673501"/>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主要技术规格及</w:t>
      </w:r>
      <w:r>
        <w:rPr>
          <w:rFonts w:hint="eastAsia" w:ascii="宋体" w:hAnsi="宋体" w:eastAsia="宋体" w:cs="宋体"/>
          <w:color w:val="000000" w:themeColor="text1"/>
          <w:sz w:val="24"/>
          <w:szCs w:val="24"/>
          <w:lang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要求</w:t>
      </w:r>
      <w:bookmarkEnd w:id="14"/>
      <w:bookmarkEnd w:id="15"/>
      <w:bookmarkEnd w:id="16"/>
      <w:bookmarkEnd w:id="17"/>
      <w:bookmarkEnd w:id="18"/>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numPr>
          <w:ilvl w:val="0"/>
          <w:numId w:val="0"/>
        </w:numPr>
        <w:tabs>
          <w:tab w:val="left" w:pos="900"/>
        </w:tabs>
        <w:kinsoku/>
        <w:wordWrap/>
        <w:overflowPunct/>
        <w:topLinePunct w:val="0"/>
        <w:bidi w:val="0"/>
        <w:spacing w:line="460" w:lineRule="exact"/>
        <w:ind w:left="454"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智能平移门</w:t>
      </w:r>
      <w:r>
        <w:rPr>
          <w:rFonts w:hint="eastAsia" w:ascii="宋体" w:hAnsi="宋体" w:eastAsia="宋体" w:cs="宋体"/>
          <w:b/>
          <w:bCs/>
          <w:color w:val="000000" w:themeColor="text1"/>
          <w:sz w:val="24"/>
          <w:szCs w:val="24"/>
          <w14:textFill>
            <w14:solidFill>
              <w14:schemeClr w14:val="tx1"/>
            </w14:solidFill>
          </w14:textFill>
        </w:rPr>
        <w:t>建设尺寸</w:t>
      </w:r>
    </w:p>
    <w:p>
      <w:pPr>
        <w:pageBreakBefore w:val="0"/>
        <w:numPr>
          <w:ilvl w:val="0"/>
          <w:numId w:val="0"/>
        </w:numPr>
        <w:tabs>
          <w:tab w:val="left" w:pos="1440"/>
        </w:tabs>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本次建设的电动</w:t>
      </w:r>
      <w:r>
        <w:rPr>
          <w:rFonts w:hint="eastAsia" w:ascii="宋体" w:hAnsi="宋体" w:eastAsia="宋体" w:cs="宋体"/>
          <w:color w:val="000000" w:themeColor="text1"/>
          <w:sz w:val="24"/>
          <w:szCs w:val="24"/>
          <w:lang w:eastAsia="zh-CN"/>
          <w14:textFill>
            <w14:solidFill>
              <w14:schemeClr w14:val="tx1"/>
            </w14:solidFill>
          </w14:textFill>
        </w:rPr>
        <w:t>智能平移门</w:t>
      </w:r>
      <w:r>
        <w:rPr>
          <w:rFonts w:hint="eastAsia" w:ascii="宋体" w:hAnsi="宋体" w:eastAsia="宋体" w:cs="宋体"/>
          <w:color w:val="000000" w:themeColor="text1"/>
          <w:sz w:val="24"/>
          <w:szCs w:val="24"/>
          <w14:textFill>
            <w14:solidFill>
              <w14:schemeClr w14:val="tx1"/>
            </w14:solidFill>
          </w14:textFill>
        </w:rPr>
        <w:t>总共为</w:t>
      </w:r>
      <w:r>
        <w:rPr>
          <w:rFonts w:hint="eastAsia" w:ascii="宋体" w:hAnsi="宋体" w:eastAsia="宋体" w:cs="宋体"/>
          <w:color w:val="000000" w:themeColor="text1"/>
          <w:sz w:val="24"/>
          <w:szCs w:val="24"/>
          <w:lang w:val="en-US" w:eastAsia="zh-CN"/>
          <w14:textFill>
            <w14:solidFill>
              <w14:schemeClr w14:val="tx1"/>
            </w14:solidFill>
          </w14:textFill>
        </w:rPr>
        <w:t>1处</w:t>
      </w:r>
      <w:r>
        <w:rPr>
          <w:rFonts w:hint="eastAsia" w:ascii="宋体" w:hAnsi="宋体" w:eastAsia="宋体" w:cs="宋体"/>
          <w:color w:val="000000" w:themeColor="text1"/>
          <w:sz w:val="24"/>
          <w:szCs w:val="24"/>
          <w14:textFill>
            <w14:solidFill>
              <w14:schemeClr w14:val="tx1"/>
            </w14:solidFill>
          </w14:textFill>
        </w:rPr>
        <w:t>，位于采购人</w:t>
      </w:r>
      <w:r>
        <w:rPr>
          <w:rFonts w:hint="eastAsia" w:ascii="宋体" w:hAnsi="宋体" w:eastAsia="宋体" w:cs="宋体"/>
          <w:color w:val="000000" w:themeColor="text1"/>
          <w:sz w:val="24"/>
          <w:szCs w:val="24"/>
          <w:lang w:eastAsia="zh-CN"/>
          <w14:textFill>
            <w14:solidFill>
              <w14:schemeClr w14:val="tx1"/>
            </w14:solidFill>
          </w14:textFill>
        </w:rPr>
        <w:t>新校区</w:t>
      </w:r>
      <w:r>
        <w:rPr>
          <w:rFonts w:hint="eastAsia" w:ascii="宋体" w:hAnsi="宋体" w:eastAsia="宋体" w:cs="宋体"/>
          <w:color w:val="000000" w:themeColor="text1"/>
          <w:sz w:val="24"/>
          <w:szCs w:val="24"/>
          <w14:textFill>
            <w14:solidFill>
              <w14:schemeClr w14:val="tx1"/>
            </w14:solidFill>
          </w14:textFill>
        </w:rPr>
        <w:t>主大门，现场建设尺寸参考如下（仅供参考，供应商需现场再次确定）：</w:t>
      </w:r>
    </w:p>
    <w:tbl>
      <w:tblPr>
        <w:tblStyle w:val="29"/>
        <w:tblW w:w="95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3037"/>
        <w:gridCol w:w="2625"/>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162"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位置</w:t>
            </w:r>
          </w:p>
        </w:tc>
        <w:tc>
          <w:tcPr>
            <w:tcW w:w="3037"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门洞尺寸（米）</w:t>
            </w:r>
          </w:p>
        </w:tc>
        <w:tc>
          <w:tcPr>
            <w:tcW w:w="2625"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门洞至值班室距离（米）</w:t>
            </w:r>
          </w:p>
        </w:tc>
        <w:tc>
          <w:tcPr>
            <w:tcW w:w="1713"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trPr>
        <w:tc>
          <w:tcPr>
            <w:tcW w:w="2162" w:type="dxa"/>
            <w:vMerge w:val="restart"/>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新校区主大</w:t>
            </w:r>
            <w:r>
              <w:rPr>
                <w:rFonts w:hint="eastAsia" w:ascii="宋体" w:hAnsi="宋体" w:eastAsia="宋体" w:cs="宋体"/>
                <w:color w:val="000000" w:themeColor="text1"/>
                <w:kern w:val="0"/>
                <w:sz w:val="24"/>
                <w:szCs w:val="24"/>
                <w:highlight w:val="none"/>
                <w14:textFill>
                  <w14:solidFill>
                    <w14:schemeClr w14:val="tx1"/>
                  </w14:solidFill>
                </w14:textFill>
              </w:rPr>
              <w:t>门</w:t>
            </w:r>
          </w:p>
        </w:tc>
        <w:tc>
          <w:tcPr>
            <w:tcW w:w="3037"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右侧约</w:t>
            </w:r>
            <w:r>
              <w:rPr>
                <w:rFonts w:hint="eastAsia" w:ascii="宋体" w:hAnsi="宋体" w:cs="宋体"/>
                <w:color w:val="000000" w:themeColor="text1"/>
                <w:kern w:val="0"/>
                <w:sz w:val="24"/>
                <w:szCs w:val="24"/>
                <w:highlight w:val="none"/>
                <w:lang w:eastAsia="zh-CN"/>
                <w14:textFill>
                  <w14:solidFill>
                    <w14:schemeClr w14:val="tx1"/>
                  </w14:solidFill>
                </w14:textFill>
              </w:rPr>
              <w:t>净</w:t>
            </w:r>
            <w:r>
              <w:rPr>
                <w:rFonts w:hint="eastAsia" w:ascii="宋体" w:hAnsi="宋体" w:eastAsia="宋体" w:cs="宋体"/>
                <w:color w:val="000000" w:themeColor="text1"/>
                <w:kern w:val="0"/>
                <w:sz w:val="24"/>
                <w:szCs w:val="24"/>
                <w:highlight w:val="none"/>
                <w14:textFill>
                  <w14:solidFill>
                    <w14:schemeClr w14:val="tx1"/>
                  </w14:solidFill>
                </w14:textFill>
              </w:rPr>
              <w:t>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4"/>
                <w:highlight w:val="none"/>
                <w14:textFill>
                  <w14:solidFill>
                    <w14:schemeClr w14:val="tx1"/>
                  </w14:solidFill>
                </w14:textFill>
              </w:rPr>
              <w:t>米×宽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kern w:val="0"/>
                <w:sz w:val="24"/>
                <w:szCs w:val="24"/>
                <w:highlight w:val="none"/>
                <w14:textFill>
                  <w14:solidFill>
                    <w14:schemeClr w14:val="tx1"/>
                  </w14:solidFill>
                </w14:textFill>
              </w:rPr>
              <w:t>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高</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 xml:space="preserve">米 </w:t>
            </w:r>
          </w:p>
        </w:tc>
        <w:tc>
          <w:tcPr>
            <w:tcW w:w="2625"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净长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kern w:val="0"/>
                <w:sz w:val="24"/>
                <w:szCs w:val="24"/>
                <w:highlight w:val="none"/>
                <w14:textFill>
                  <w14:solidFill>
                    <w14:schemeClr w14:val="tx1"/>
                  </w14:solidFill>
                </w14:textFill>
              </w:rPr>
              <w:t>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（其：出入通道</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9.5米，花圃8.5米，门洞</w:t>
            </w:r>
            <w:r>
              <w:rPr>
                <w:rFonts w:hint="eastAsia" w:ascii="宋体" w:hAnsi="宋体" w:cs="宋体"/>
                <w:color w:val="000000" w:themeColor="text1"/>
                <w:kern w:val="0"/>
                <w:sz w:val="24"/>
                <w:szCs w:val="24"/>
                <w:highlight w:val="none"/>
                <w:lang w:val="en-US" w:eastAsia="zh-CN"/>
                <w14:textFill>
                  <w14:solidFill>
                    <w14:schemeClr w14:val="tx1"/>
                  </w14:solidFill>
                </w14:textFill>
              </w:rPr>
              <w:t>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延长内1米）</w:t>
            </w:r>
          </w:p>
        </w:tc>
        <w:tc>
          <w:tcPr>
            <w:tcW w:w="1713" w:type="dxa"/>
            <w:vMerge w:val="restart"/>
            <w:vAlign w:val="center"/>
          </w:tcPr>
          <w:p>
            <w:pPr>
              <w:pageBreakBefore w:val="0"/>
              <w:widowControl/>
              <w:kinsoku/>
              <w:wordWrap/>
              <w:overflowPunct/>
              <w:topLinePunct w:val="0"/>
              <w:bidi w:val="0"/>
              <w:spacing w:line="46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eastAsia="zh-CN"/>
                <w14:textFill>
                  <w14:solidFill>
                    <w14:schemeClr w14:val="tx1"/>
                  </w14:solidFill>
                </w14:textFill>
              </w:rPr>
              <w:t>主大门形象牌</w:t>
            </w:r>
            <w:r>
              <w:rPr>
                <w:rFonts w:hint="eastAsia" w:ascii="宋体" w:hAnsi="宋体" w:cs="宋体"/>
                <w:color w:val="000000" w:themeColor="text1"/>
                <w:kern w:val="0"/>
                <w:sz w:val="24"/>
                <w:szCs w:val="24"/>
                <w:highlight w:val="none"/>
                <w14:textFill>
                  <w14:solidFill>
                    <w14:schemeClr w14:val="tx1"/>
                  </w14:solidFill>
                </w14:textFill>
              </w:rPr>
              <w:t>门洞</w:t>
            </w:r>
            <w:r>
              <w:rPr>
                <w:rFonts w:hint="eastAsia" w:ascii="宋体" w:hAnsi="宋体" w:cs="宋体"/>
                <w:color w:val="000000" w:themeColor="text1"/>
                <w:kern w:val="0"/>
                <w:sz w:val="24"/>
                <w:szCs w:val="24"/>
                <w:highlight w:val="none"/>
                <w:lang w:eastAsia="zh-CN"/>
                <w14:textFill>
                  <w14:solidFill>
                    <w14:schemeClr w14:val="tx1"/>
                  </w14:solidFill>
                </w14:textFill>
              </w:rPr>
              <w:t>总长</w:t>
            </w:r>
            <w:r>
              <w:rPr>
                <w:rFonts w:hint="eastAsia" w:ascii="宋体" w:hAnsi="宋体" w:cs="宋体"/>
                <w:color w:val="000000" w:themeColor="text1"/>
                <w:kern w:val="0"/>
                <w:sz w:val="24"/>
                <w:szCs w:val="24"/>
                <w:highlight w:val="none"/>
                <w:lang w:val="en-US" w:eastAsia="zh-CN"/>
                <w14:textFill>
                  <w14:solidFill>
                    <w14:schemeClr w14:val="tx1"/>
                  </w14:solidFill>
                </w14:textFill>
              </w:rPr>
              <w:t>21米。2.平移门总长小于19米，按实结算。3.平移门颜色及造型结构由采购人选定。</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162" w:type="dxa"/>
            <w:vMerge w:val="continue"/>
            <w:vAlign w:val="center"/>
          </w:tcPr>
          <w:p>
            <w:pPr>
              <w:pageBreakBefore w:val="0"/>
              <w:widowControl/>
              <w:kinsoku/>
              <w:wordWrap/>
              <w:overflowPunct/>
              <w:topLinePunct w:val="0"/>
              <w:bidi w:val="0"/>
              <w:spacing w:line="46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3037"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左侧约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净</w:t>
            </w:r>
            <w:r>
              <w:rPr>
                <w:rFonts w:hint="eastAsia" w:ascii="宋体" w:hAnsi="宋体" w:eastAsia="宋体" w:cs="宋体"/>
                <w:color w:val="000000" w:themeColor="text1"/>
                <w:kern w:val="0"/>
                <w:sz w:val="24"/>
                <w:szCs w:val="24"/>
                <w:highlight w:val="none"/>
                <w14:textFill>
                  <w14:solidFill>
                    <w14:schemeClr w14:val="tx1"/>
                  </w14:solidFill>
                </w14:textFill>
              </w:rPr>
              <w:t>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4"/>
                <w:highlight w:val="none"/>
                <w14:textFill>
                  <w14:solidFill>
                    <w14:schemeClr w14:val="tx1"/>
                  </w14:solidFill>
                </w14:textFill>
              </w:rPr>
              <w:t>米×宽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kern w:val="0"/>
                <w:sz w:val="24"/>
                <w:szCs w:val="24"/>
                <w:highlight w:val="none"/>
                <w14:textFill>
                  <w14:solidFill>
                    <w14:schemeClr w14:val="tx1"/>
                  </w14:solidFill>
                </w14:textFill>
              </w:rPr>
              <w:t>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高</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米</w:t>
            </w:r>
          </w:p>
        </w:tc>
        <w:tc>
          <w:tcPr>
            <w:tcW w:w="2625" w:type="dxa"/>
            <w:vAlign w:val="center"/>
          </w:tcPr>
          <w:p>
            <w:pPr>
              <w:pageBreakBefore w:val="0"/>
              <w:widowControl/>
              <w:kinsoku/>
              <w:wordWrap/>
              <w:overflowPunct/>
              <w:topLinePunct w:val="0"/>
              <w:bidi w:val="0"/>
              <w:spacing w:line="4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净长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kern w:val="0"/>
                <w:sz w:val="24"/>
                <w:szCs w:val="24"/>
                <w:highlight w:val="none"/>
                <w14:textFill>
                  <w14:solidFill>
                    <w14:schemeClr w14:val="tx1"/>
                  </w14:solidFill>
                </w14:textFill>
              </w:rPr>
              <w:t>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（其：出入通道</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9.5米，花圃8.5米，门洞</w:t>
            </w:r>
            <w:r>
              <w:rPr>
                <w:rFonts w:hint="eastAsia" w:ascii="宋体" w:hAnsi="宋体" w:cs="宋体"/>
                <w:color w:val="000000" w:themeColor="text1"/>
                <w:kern w:val="0"/>
                <w:sz w:val="24"/>
                <w:szCs w:val="24"/>
                <w:highlight w:val="none"/>
                <w:lang w:val="en-US" w:eastAsia="zh-CN"/>
                <w14:textFill>
                  <w14:solidFill>
                    <w14:schemeClr w14:val="tx1"/>
                  </w14:solidFill>
                </w14:textFill>
              </w:rPr>
              <w:t>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延长内1米）</w:t>
            </w:r>
          </w:p>
        </w:tc>
        <w:tc>
          <w:tcPr>
            <w:tcW w:w="1713" w:type="dxa"/>
            <w:vMerge w:val="continue"/>
            <w:vAlign w:val="center"/>
          </w:tcPr>
          <w:p>
            <w:pPr>
              <w:pageBreakBefore w:val="0"/>
              <w:widowControl/>
              <w:kinsoku/>
              <w:wordWrap/>
              <w:overflowPunct/>
              <w:topLinePunct w:val="0"/>
              <w:bidi w:val="0"/>
              <w:spacing w:line="46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bl>
    <w:p>
      <w:pPr>
        <w:pageBreakBefore w:val="0"/>
        <w:kinsoku/>
        <w:wordWrap/>
        <w:overflowPunct/>
        <w:topLinePunct w:val="0"/>
        <w:bidi w:val="0"/>
        <w:spacing w:line="460" w:lineRule="exact"/>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eastAsia="zh-CN"/>
          <w14:textFill>
            <w14:solidFill>
              <w14:schemeClr w14:val="tx1"/>
            </w14:solidFill>
          </w14:textFill>
        </w:rPr>
        <w:t>产品内容</w:t>
      </w:r>
    </w:p>
    <w:tbl>
      <w:tblPr>
        <w:tblStyle w:val="29"/>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313"/>
        <w:gridCol w:w="785"/>
        <w:gridCol w:w="800"/>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978"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800"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trPr>
        <w:tc>
          <w:tcPr>
            <w:tcW w:w="1978"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门排</w:t>
            </w:r>
            <w:r>
              <w:rPr>
                <w:rFonts w:hint="eastAsia" w:ascii="宋体" w:hAnsi="宋体" w:eastAsia="宋体" w:cs="宋体"/>
                <w:color w:val="000000" w:themeColor="text1"/>
                <w:sz w:val="24"/>
                <w:szCs w:val="24"/>
                <w:lang w:eastAsia="zh-CN"/>
                <w14:textFill>
                  <w14:solidFill>
                    <w14:schemeClr w14:val="tx1"/>
                  </w14:solidFill>
                </w14:textFill>
              </w:rPr>
              <w:t>及大梁</w:t>
            </w: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长（19米+19米）*高1.6米</w:t>
            </w:r>
          </w:p>
        </w:tc>
        <w:tc>
          <w:tcPr>
            <w:tcW w:w="785" w:type="dxa"/>
            <w:tcBorders>
              <w:tl2br w:val="nil"/>
              <w:tr2bl w:val="nil"/>
            </w:tcBorders>
            <w:vAlign w:val="center"/>
          </w:tcPr>
          <w:p>
            <w:pPr>
              <w:pageBreakBefore w:val="0"/>
              <w:kinsoku/>
              <w:wordWrap/>
              <w:overflowPunct/>
              <w:topLinePunct w:val="0"/>
              <w:bidi w:val="0"/>
              <w:spacing w:line="460" w:lineRule="exact"/>
              <w:ind w:firstLine="240" w:firstLineChars="1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米</w:t>
            </w:r>
          </w:p>
        </w:tc>
        <w:tc>
          <w:tcPr>
            <w:tcW w:w="800"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38</w:t>
            </w: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材料高强度铝合金型材，十五年不退色，阳极氧化处理</w:t>
            </w:r>
            <w:r>
              <w:rPr>
                <w:rFonts w:hint="eastAsia" w:ascii="宋体" w:hAnsi="宋体"/>
                <w:color w:val="000000" w:themeColor="text1"/>
                <w:sz w:val="24"/>
                <w:szCs w:val="24"/>
                <w:lang w:eastAsia="zh-CN"/>
                <w14:textFill>
                  <w14:solidFill>
                    <w14:schemeClr w14:val="tx1"/>
                  </w14:solidFill>
                </w14:textFill>
              </w:rPr>
              <w:t>二涂二烤工艺</w:t>
            </w:r>
            <w:r>
              <w:rPr>
                <w:rFonts w:hint="eastAsia" w:ascii="宋体" w:hAnsi="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978" w:type="dxa"/>
            <w:vMerge w:val="restart"/>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智能驱动系统</w:t>
            </w:r>
          </w:p>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变频</w:t>
            </w:r>
            <w:r>
              <w:rPr>
                <w:rFonts w:hint="eastAsia" w:ascii="宋体" w:hAnsi="宋体" w:eastAsia="宋体" w:cs="宋体"/>
                <w:color w:val="000000" w:themeColor="text1"/>
                <w:sz w:val="24"/>
                <w:szCs w:val="24"/>
                <w14:textFill>
                  <w14:solidFill>
                    <w14:schemeClr w14:val="tx1"/>
                  </w14:solidFill>
                </w14:textFill>
              </w:rPr>
              <w:t>电机</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800" w:type="dxa"/>
            <w:vMerge w:val="restart"/>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电子软启动</w:t>
            </w:r>
            <w:r>
              <w:rPr>
                <w:rFonts w:hint="eastAsia" w:ascii="宋体" w:hAnsi="宋体" w:eastAsia="宋体" w:cs="宋体"/>
                <w:color w:val="000000" w:themeColor="text1"/>
                <w:sz w:val="24"/>
                <w:szCs w:val="24"/>
                <w:lang w:eastAsia="zh-CN"/>
                <w14:textFill>
                  <w14:solidFill>
                    <w14:schemeClr w14:val="tx1"/>
                  </w14:solidFill>
                </w14:textFill>
              </w:rPr>
              <w:t>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无触点</w:t>
            </w:r>
            <w:r>
              <w:rPr>
                <w:rFonts w:hint="eastAsia" w:ascii="宋体" w:hAnsi="宋体" w:eastAsia="宋体" w:cs="宋体"/>
                <w:color w:val="000000" w:themeColor="text1"/>
                <w:sz w:val="24"/>
                <w:szCs w:val="24"/>
                <w14:textFill>
                  <w14:solidFill>
                    <w14:schemeClr w14:val="tx1"/>
                  </w14:solidFill>
                </w14:textFill>
              </w:rPr>
              <w:t>控制系统</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磁敏限位</w:t>
            </w:r>
            <w:r>
              <w:rPr>
                <w:rFonts w:hint="eastAsia" w:ascii="宋体" w:hAnsi="宋体" w:eastAsia="宋体" w:cs="宋体"/>
                <w:color w:val="000000" w:themeColor="text1"/>
                <w:sz w:val="24"/>
                <w:szCs w:val="24"/>
                <w14:textFill>
                  <w14:solidFill>
                    <w14:schemeClr w14:val="tx1"/>
                  </w14:solidFill>
                </w14:textFill>
              </w:rPr>
              <w:t>开关</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缓冲装置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热敏保护装置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过载保护装置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手动离合装置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restart"/>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智能</w:t>
            </w:r>
            <w:r>
              <w:rPr>
                <w:rFonts w:hint="eastAsia" w:ascii="宋体" w:hAnsi="宋体" w:eastAsia="宋体" w:cs="宋体"/>
                <w:color w:val="000000" w:themeColor="text1"/>
                <w:sz w:val="24"/>
                <w:szCs w:val="24"/>
                <w:lang w:eastAsia="zh-CN"/>
                <w14:textFill>
                  <w14:solidFill>
                    <w14:schemeClr w14:val="tx1"/>
                  </w14:solidFill>
                </w14:textFill>
              </w:rPr>
              <w:t>装</w:t>
            </w:r>
            <w:r>
              <w:rPr>
                <w:rFonts w:hint="eastAsia" w:ascii="宋体" w:hAnsi="宋体" w:eastAsia="宋体" w:cs="宋体"/>
                <w:color w:val="000000" w:themeColor="text1"/>
                <w:sz w:val="24"/>
                <w:szCs w:val="24"/>
                <w14:textFill>
                  <w14:solidFill>
                    <w14:schemeClr w14:val="tx1"/>
                  </w14:solidFill>
                </w14:textFill>
              </w:rPr>
              <w:t>置系统</w:t>
            </w: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红外线</w:t>
            </w:r>
            <w:r>
              <w:rPr>
                <w:rFonts w:hint="eastAsia" w:ascii="宋体" w:hAnsi="宋体" w:eastAsia="宋体" w:cs="宋体"/>
                <w:color w:val="000000" w:themeColor="text1"/>
                <w:sz w:val="24"/>
                <w:szCs w:val="24"/>
                <w14:textFill>
                  <w14:solidFill>
                    <w14:schemeClr w14:val="tx1"/>
                  </w14:solidFill>
                </w14:textFill>
              </w:rPr>
              <w:t>防撞装置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restart"/>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红外线防碰装置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压力波防夹装置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红外线防爬报警装置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自动导正装置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漏电保护装置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紧急停止装置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无线发射装置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978"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自动纠偏装置</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00" w:type="dxa"/>
            <w:vMerge w:val="continue"/>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978"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控制盒/</w:t>
            </w:r>
            <w:r>
              <w:rPr>
                <w:rFonts w:hint="eastAsia" w:ascii="宋体" w:hAnsi="宋体" w:eastAsia="宋体" w:cs="宋体"/>
                <w:color w:val="000000" w:themeColor="text1"/>
                <w:sz w:val="24"/>
                <w:szCs w:val="24"/>
                <w14:textFill>
                  <w14:solidFill>
                    <w14:schemeClr w14:val="tx1"/>
                  </w14:solidFill>
                </w14:textFill>
              </w:rPr>
              <w:t>数码遥控器</w:t>
            </w:r>
          </w:p>
        </w:tc>
        <w:tc>
          <w:tcPr>
            <w:tcW w:w="3313"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85"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c>
          <w:tcPr>
            <w:tcW w:w="800"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737" w:type="dxa"/>
            <w:tcBorders>
              <w:tl2br w:val="nil"/>
              <w:tr2bl w:val="nil"/>
            </w:tcBorders>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bl>
    <w:p>
      <w:pPr>
        <w:pageBreakBefore w:val="0"/>
        <w:kinsoku/>
        <w:wordWrap/>
        <w:overflowPunct/>
        <w:topLinePunct w:val="0"/>
        <w:bidi w:val="0"/>
        <w:spacing w:line="460" w:lineRule="exact"/>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3、产品规格参数</w:t>
      </w:r>
    </w:p>
    <w:p>
      <w:pPr>
        <w:pageBreakBefore w:val="0"/>
        <w:kinsoku/>
        <w:wordWrap/>
        <w:overflowPunct/>
        <w:topLinePunct w:val="0"/>
        <w:bidi w:val="0"/>
        <w:spacing w:line="460" w:lineRule="exact"/>
        <w:ind w:firstLine="241" w:firstLineChars="1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3.1</w:t>
      </w:r>
      <w:r>
        <w:rPr>
          <w:rFonts w:hint="eastAsia" w:ascii="宋体" w:hAnsi="宋体" w:eastAsia="宋体" w:cs="宋体"/>
          <w:b/>
          <w:bCs/>
          <w:color w:val="000000" w:themeColor="text1"/>
          <w:kern w:val="0"/>
          <w:sz w:val="24"/>
          <w:szCs w:val="24"/>
          <w:lang w:eastAsia="zh-CN"/>
          <w14:textFill>
            <w14:solidFill>
              <w14:schemeClr w14:val="tx1"/>
            </w14:solidFill>
          </w14:textFill>
        </w:rPr>
        <w:t>电机</w:t>
      </w:r>
      <w:r>
        <w:rPr>
          <w:rFonts w:hint="eastAsia" w:ascii="宋体" w:hAnsi="宋体" w:eastAsia="宋体" w:cs="宋体"/>
          <w:b/>
          <w:bCs/>
          <w:color w:val="000000" w:themeColor="text1"/>
          <w:kern w:val="0"/>
          <w:sz w:val="24"/>
          <w:szCs w:val="24"/>
          <w14:textFill>
            <w14:solidFill>
              <w14:schemeClr w14:val="tx1"/>
            </w14:solidFill>
          </w14:textFill>
        </w:rPr>
        <w:t>规格参数</w:t>
      </w:r>
    </w:p>
    <w:tbl>
      <w:tblPr>
        <w:tblStyle w:val="29"/>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20" w:type="dxa"/>
            <w:gridSpan w:val="2"/>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工作电源</w:t>
            </w:r>
            <w:r>
              <w:rPr>
                <w:rFonts w:hint="eastAsia" w:ascii="宋体" w:hAnsi="宋体" w:eastAsia="宋体" w:cs="宋体"/>
                <w:bCs/>
                <w:color w:val="000000" w:themeColor="text1"/>
                <w:sz w:val="24"/>
                <w:szCs w:val="24"/>
                <w:lang w:eastAsia="zh-CN"/>
                <w14:textFill>
                  <w14:solidFill>
                    <w14:schemeClr w14:val="tx1"/>
                  </w14:solidFill>
                </w14:textFill>
              </w:rPr>
              <w:t>电压</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220V±10%</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使用环境温度</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空气相应湿</w:t>
            </w:r>
            <w:r>
              <w:rPr>
                <w:rFonts w:hint="eastAsia" w:ascii="宋体" w:hAnsi="宋体" w:eastAsia="宋体" w:cs="宋体"/>
                <w:bCs/>
                <w:color w:val="000000" w:themeColor="text1"/>
                <w:sz w:val="24"/>
                <w:szCs w:val="24"/>
                <w14:textFill>
                  <w14:solidFill>
                    <w14:schemeClr w14:val="tx1"/>
                  </w14:solidFill>
                </w14:textFill>
              </w:rPr>
              <w:t>度</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门体运行速度</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20</w:t>
            </w:r>
            <w:r>
              <w:rPr>
                <w:rFonts w:hint="eastAsia" w:ascii="宋体" w:hAnsi="宋体" w:eastAsia="宋体" w:cs="宋体"/>
                <w:bCs/>
                <w:color w:val="000000" w:themeColor="text1"/>
                <w:sz w:val="24"/>
                <w:szCs w:val="24"/>
                <w14:textFill>
                  <w14:solidFill>
                    <w14:schemeClr w14:val="tx1"/>
                  </w14:solidFill>
                </w14:textFill>
              </w:rPr>
              <w:t>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电机额定功率</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750</w:t>
            </w:r>
            <w:r>
              <w:rPr>
                <w:rFonts w:hint="eastAsia" w:ascii="宋体" w:hAnsi="宋体" w:eastAsia="宋体" w:cs="宋体"/>
                <w:bCs/>
                <w:color w:val="000000" w:themeColor="text1"/>
                <w:sz w:val="24"/>
                <w:szCs w:val="24"/>
                <w14:textFill>
                  <w14:solidFill>
                    <w14:schemeClr w14:val="tx1"/>
                  </w14:solidFill>
                </w14:textFill>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电机额定转速</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电机防护等级</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IP</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电机绝缘等级</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减速比</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遥控距离</w:t>
            </w:r>
          </w:p>
        </w:tc>
        <w:tc>
          <w:tcPr>
            <w:tcW w:w="540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100</w:t>
            </w:r>
            <w:r>
              <w:rPr>
                <w:rFonts w:hint="eastAsia" w:ascii="宋体" w:hAnsi="宋体" w:eastAsia="宋体" w:cs="宋体"/>
                <w:bCs/>
                <w:color w:val="000000" w:themeColor="text1"/>
                <w:sz w:val="24"/>
                <w:szCs w:val="24"/>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320" w:type="dxa"/>
            <w:vAlign w:val="top"/>
          </w:tcPr>
          <w:p>
            <w:pPr>
              <w:pageBreakBefore w:val="0"/>
              <w:kinsoku/>
              <w:wordWrap/>
              <w:overflowPunct/>
              <w:topLinePunct w:val="0"/>
              <w:bidi w:val="0"/>
              <w:spacing w:line="460" w:lineRule="exact"/>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运行噪音</w:t>
            </w:r>
          </w:p>
        </w:tc>
        <w:tc>
          <w:tcPr>
            <w:tcW w:w="5400" w:type="dxa"/>
            <w:vAlign w:val="top"/>
          </w:tcPr>
          <w:p>
            <w:pPr>
              <w:pageBreakBefore w:val="0"/>
              <w:kinsoku/>
              <w:wordWrap/>
              <w:overflowPunct/>
              <w:topLinePunct w:val="0"/>
              <w:bidi w:val="0"/>
              <w:spacing w:line="460" w:lineRule="exact"/>
              <w:ind w:firstLine="2160" w:firstLineChars="9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6</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db</w:t>
            </w:r>
          </w:p>
        </w:tc>
      </w:tr>
    </w:tbl>
    <w:p>
      <w:pPr>
        <w:pageBreakBefore w:val="0"/>
        <w:kinsoku/>
        <w:wordWrap/>
        <w:overflowPunct/>
        <w:topLinePunct w:val="0"/>
        <w:bidi w:val="0"/>
        <w:spacing w:line="460" w:lineRule="exact"/>
        <w:ind w:firstLine="241" w:firstLineChars="100"/>
        <w:textAlignment w:val="auto"/>
        <w:rPr>
          <w:rFonts w:hint="eastAsia" w:ascii="宋体" w:hAnsi="宋体" w:eastAsia="宋体" w:cs="宋体"/>
          <w:b w:val="0"/>
          <w:bCs w:val="0"/>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主要零部件规格参数</w:t>
      </w:r>
    </w:p>
    <w:tbl>
      <w:tblPr>
        <w:tblStyle w:val="30"/>
        <w:tblW w:w="973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989"/>
        <w:gridCol w:w="2493"/>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Merge w:val="restart"/>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名称</w:t>
            </w:r>
          </w:p>
        </w:tc>
        <w:tc>
          <w:tcPr>
            <w:tcW w:w="1989" w:type="dxa"/>
            <w:vMerge w:val="restart"/>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材质</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硬度</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Merge w:val="continue"/>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1989" w:type="dxa"/>
            <w:vMerge w:val="continue"/>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HW</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上梁</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6005-T5</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13-15°</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X</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X厚4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下梁</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6005-T5</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13-15°</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248X168X厚9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门排立柱</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6063-T5</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10-13°</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120X</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75</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X厚2.5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门排竖管</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6063-T5</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10-13°</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60X</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0X厚1.2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龙门架立柱</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6063-T5</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10-13°</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180X100X厚3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龙门架机箱</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6063-T5</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10-13°</w:t>
            </w: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230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X</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135</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X厚3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龙门架机箱底板</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冷轧板</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650X</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380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X厚20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龙门架底板</w:t>
            </w:r>
          </w:p>
        </w:tc>
        <w:tc>
          <w:tcPr>
            <w:tcW w:w="198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冷轧板</w:t>
            </w:r>
          </w:p>
        </w:tc>
        <w:tc>
          <w:tcPr>
            <w:tcW w:w="2493"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919" w:type="dxa"/>
            <w:vAlign w:val="center"/>
          </w:tcPr>
          <w:p>
            <w:pPr>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638X380X厚20</w:t>
            </w:r>
          </w:p>
        </w:tc>
      </w:tr>
    </w:tbl>
    <w:p>
      <w:pPr>
        <w:pageBreakBefore w:val="0"/>
        <w:kinsoku/>
        <w:wordWrap/>
        <w:overflowPunct/>
        <w:topLinePunct w:val="0"/>
        <w:bidi w:val="0"/>
        <w:spacing w:line="460" w:lineRule="exac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产品</w:t>
      </w:r>
      <w:r>
        <w:rPr>
          <w:rFonts w:hint="eastAsia" w:ascii="宋体" w:hAnsi="宋体" w:cs="宋体"/>
          <w:b/>
          <w:bCs/>
          <w:color w:val="000000" w:themeColor="text1"/>
          <w:sz w:val="24"/>
          <w:szCs w:val="24"/>
          <w:lang w:eastAsia="zh-CN"/>
          <w14:textFill>
            <w14:solidFill>
              <w14:schemeClr w14:val="tx1"/>
            </w14:solidFill>
          </w14:textFill>
        </w:rPr>
        <w:t>选配</w:t>
      </w:r>
      <w:r>
        <w:rPr>
          <w:rFonts w:hint="eastAsia" w:ascii="宋体" w:hAnsi="宋体" w:eastAsia="宋体" w:cs="宋体"/>
          <w:b/>
          <w:bCs/>
          <w:color w:val="000000" w:themeColor="text1"/>
          <w:sz w:val="24"/>
          <w:szCs w:val="24"/>
          <w14:textFill>
            <w14:solidFill>
              <w14:schemeClr w14:val="tx1"/>
            </w14:solidFill>
          </w14:textFill>
        </w:rPr>
        <w:t>控制功能</w:t>
      </w:r>
    </w:p>
    <w:tbl>
      <w:tblPr>
        <w:tblStyle w:val="29"/>
        <w:tblpPr w:leftFromText="180" w:rightFromText="180" w:vertAnchor="text" w:horzAnchor="page" w:tblpX="763" w:tblpY="8"/>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本地控制</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内置本地按钮位于主板上，可加装外置式独立本地控制盒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控制主板</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嵌入式变频工控板，可编程设置,由</w:t>
            </w:r>
            <w:r>
              <w:rPr>
                <w:rFonts w:hint="eastAsia" w:ascii="宋体" w:hAnsi="宋体" w:eastAsia="宋体" w:cs="宋体"/>
                <w:color w:val="000000" w:themeColor="text1"/>
                <w:sz w:val="24"/>
                <w:szCs w:val="24"/>
                <w:lang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刷卡联动</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蓝牙、读卡、指纹信号源卡机直接接入主板端口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车牌识别系统联动</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车牌识别系统直接接入主控制板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动态人脸识别联动</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动态人脸识别通过24AWG线接入主板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遥  控</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各类学习型遥控器一键学习对码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断电控制</w:t>
            </w:r>
          </w:p>
        </w:tc>
        <w:tc>
          <w:tcPr>
            <w:tcW w:w="6521" w:type="dxa"/>
            <w:vAlign w:val="center"/>
          </w:tcPr>
          <w:p>
            <w:pPr>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断电手动90°旋转电机离合，手动运行</w:t>
            </w:r>
          </w:p>
        </w:tc>
      </w:tr>
    </w:tbl>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kinsoku/>
        <w:wordWrap/>
        <w:overflowPunct/>
        <w:topLinePunct w:val="0"/>
        <w:bidi w:val="0"/>
        <w:spacing w:line="460" w:lineRule="exact"/>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产品主要功能</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w:t>
      </w:r>
      <w:r>
        <w:rPr>
          <w:rFonts w:hint="eastAsia" w:ascii="宋体" w:hAnsi="宋体" w:eastAsia="宋体" w:cs="宋体"/>
          <w:color w:val="000000" w:themeColor="text1"/>
          <w:sz w:val="24"/>
          <w:szCs w:val="24"/>
          <w:lang w:eastAsia="zh-CN"/>
          <w14:textFill>
            <w14:solidFill>
              <w14:schemeClr w14:val="tx1"/>
            </w14:solidFill>
          </w14:textFill>
        </w:rPr>
        <w:t>控制</w:t>
      </w:r>
      <w:r>
        <w:rPr>
          <w:rFonts w:hint="eastAsia" w:ascii="宋体" w:hAnsi="宋体" w:eastAsia="宋体" w:cs="宋体"/>
          <w:color w:val="000000" w:themeColor="text1"/>
          <w:sz w:val="24"/>
          <w:szCs w:val="24"/>
          <w14:textFill>
            <w14:solidFill>
              <w14:schemeClr w14:val="tx1"/>
            </w14:solidFill>
          </w14:textFill>
        </w:rPr>
        <w:t>操作</w:t>
      </w:r>
      <w:r>
        <w:rPr>
          <w:rFonts w:hint="eastAsia" w:ascii="宋体" w:hAnsi="宋体" w:eastAsia="宋体" w:cs="宋体"/>
          <w:color w:val="000000" w:themeColor="text1"/>
          <w:sz w:val="24"/>
          <w:szCs w:val="24"/>
          <w:lang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门体</w:t>
      </w:r>
      <w:r>
        <w:rPr>
          <w:rFonts w:hint="eastAsia" w:ascii="宋体" w:hAnsi="宋体" w:eastAsia="宋体" w:cs="宋体"/>
          <w:color w:val="000000" w:themeColor="text1"/>
          <w:sz w:val="24"/>
          <w:szCs w:val="24"/>
          <w14:textFill>
            <w14:solidFill>
              <w14:schemeClr w14:val="tx1"/>
            </w14:solidFill>
          </w14:textFill>
        </w:rPr>
        <w:t>可通过外置遥控接收或手动控制的控制盒，控制盒接收动作命令后，通过有线输送到电箱内。避免电箱屏蔽或建筑物信号折射弊端，实现动作的准确、及时。当门体动作时检测到开、关限位信号，门体会自动停止运行。</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防碰功能： 在开</w:t>
      </w:r>
      <w:r>
        <w:rPr>
          <w:rFonts w:hint="eastAsia" w:ascii="宋体" w:hAnsi="宋体" w:eastAsia="宋体" w:cs="宋体"/>
          <w:color w:val="000000" w:themeColor="text1"/>
          <w:sz w:val="24"/>
          <w:szCs w:val="24"/>
          <w:lang w:eastAsia="zh-CN"/>
          <w14:textFill>
            <w14:solidFill>
              <w14:schemeClr w14:val="tx1"/>
            </w14:solidFill>
          </w14:textFill>
        </w:rPr>
        <w:t>门或</w:t>
      </w:r>
      <w:r>
        <w:rPr>
          <w:rFonts w:hint="eastAsia" w:ascii="宋体" w:hAnsi="宋体" w:eastAsia="宋体" w:cs="宋体"/>
          <w:color w:val="000000" w:themeColor="text1"/>
          <w:sz w:val="24"/>
          <w:szCs w:val="24"/>
          <w14:textFill>
            <w14:solidFill>
              <w14:schemeClr w14:val="tx1"/>
            </w14:solidFill>
          </w14:textFill>
        </w:rPr>
        <w:t>关门运行状态下，气囊受人或物碰压，防碰压力波传感器感应后通过无线发射模块发射信号到主控板，主控板收到信号后，门体可自动停止运行。</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14:textFill>
            <w14:solidFill>
              <w14:schemeClr w14:val="tx1"/>
            </w14:solidFill>
          </w14:textFill>
        </w:rPr>
        <w:t xml:space="preserve">防夹功能： </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开</w:t>
      </w:r>
      <w:r>
        <w:rPr>
          <w:rFonts w:hint="eastAsia" w:ascii="宋体" w:hAnsi="宋体" w:eastAsia="宋体" w:cs="宋体"/>
          <w:color w:val="000000" w:themeColor="text1"/>
          <w:sz w:val="24"/>
          <w:szCs w:val="24"/>
          <w:lang w:eastAsia="zh-CN"/>
          <w14:textFill>
            <w14:solidFill>
              <w14:schemeClr w14:val="tx1"/>
            </w14:solidFill>
          </w14:textFill>
        </w:rPr>
        <w:t>门或</w:t>
      </w:r>
      <w:r>
        <w:rPr>
          <w:rFonts w:hint="eastAsia" w:ascii="宋体" w:hAnsi="宋体" w:eastAsia="宋体" w:cs="宋体"/>
          <w:color w:val="000000" w:themeColor="text1"/>
          <w:sz w:val="24"/>
          <w:szCs w:val="24"/>
          <w14:textFill>
            <w14:solidFill>
              <w14:schemeClr w14:val="tx1"/>
            </w14:solidFill>
          </w14:textFill>
        </w:rPr>
        <w:t>关门运行状态下，如遇人和物碰到安装在控制箱左右两侧的气囊，门体可即时运行停止。</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防撞功能：在关门或开门运行状态下，</w:t>
      </w:r>
      <w:r>
        <w:rPr>
          <w:rFonts w:hint="eastAsia" w:ascii="宋体" w:hAnsi="宋体" w:eastAsia="宋体" w:cs="宋体"/>
          <w:color w:val="000000" w:themeColor="text1"/>
          <w:sz w:val="24"/>
          <w:szCs w:val="24"/>
          <w:lang w:eastAsia="zh-CN"/>
          <w14:textFill>
            <w14:solidFill>
              <w14:schemeClr w14:val="tx1"/>
            </w14:solidFill>
          </w14:textFill>
        </w:rPr>
        <w:t>红外线</w:t>
      </w:r>
      <w:r>
        <w:rPr>
          <w:rFonts w:hint="eastAsia" w:ascii="宋体" w:hAnsi="宋体" w:eastAsia="宋体" w:cs="宋体"/>
          <w:color w:val="000000" w:themeColor="text1"/>
          <w:sz w:val="24"/>
          <w:szCs w:val="24"/>
          <w14:textFill>
            <w14:solidFill>
              <w14:schemeClr w14:val="tx1"/>
            </w14:solidFill>
          </w14:textFill>
        </w:rPr>
        <w:t>防撞装置遇人或物自动停止</w:t>
      </w:r>
      <w:r>
        <w:rPr>
          <w:rFonts w:hint="eastAsia" w:ascii="宋体" w:hAnsi="宋体" w:eastAsia="宋体" w:cs="宋体"/>
          <w:color w:val="000000" w:themeColor="text1"/>
          <w:sz w:val="24"/>
          <w:szCs w:val="24"/>
          <w:lang w:eastAsia="zh-CN"/>
          <w14:textFill>
            <w14:solidFill>
              <w14:schemeClr w14:val="tx1"/>
            </w14:solidFill>
          </w14:textFill>
        </w:rPr>
        <w:t>运行</w:t>
      </w:r>
      <w:r>
        <w:rPr>
          <w:rFonts w:hint="eastAsia" w:ascii="宋体" w:hAnsi="宋体" w:eastAsia="宋体" w:cs="宋体"/>
          <w:color w:val="000000" w:themeColor="text1"/>
          <w:sz w:val="24"/>
          <w:szCs w:val="24"/>
          <w14:textFill>
            <w14:solidFill>
              <w14:schemeClr w14:val="tx1"/>
            </w14:solidFill>
          </w14:textFill>
        </w:rPr>
        <w:t>，保证车辆和人员安全。</w:t>
      </w:r>
    </w:p>
    <w:p>
      <w:pPr>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5.5自动导正功能：</w:t>
      </w:r>
      <w:r>
        <w:rPr>
          <w:rFonts w:hint="eastAsia" w:ascii="宋体" w:hAnsi="宋体" w:eastAsia="宋体" w:cs="宋体"/>
          <w:color w:val="000000" w:themeColor="text1"/>
          <w:sz w:val="24"/>
          <w:szCs w:val="24"/>
          <w14:textFill>
            <w14:solidFill>
              <w14:schemeClr w14:val="tx1"/>
            </w14:solidFill>
          </w14:textFill>
        </w:rPr>
        <w:t>机头底部及轮框底盘安装有导正装置，门体每次关门到位时都会导正到路轨中心线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确保每次开门和关门都能直线运行。</w:t>
      </w:r>
      <w:r>
        <w:rPr>
          <w:rFonts w:hint="eastAsia" w:ascii="宋体" w:hAnsi="宋体" w:eastAsia="宋体" w:cs="宋体"/>
          <w:color w:val="000000" w:themeColor="text1"/>
          <w:sz w:val="24"/>
          <w:szCs w:val="24"/>
          <w:lang w:eastAsia="zh-CN"/>
          <w14:textFill>
            <w14:solidFill>
              <w14:schemeClr w14:val="tx1"/>
            </w14:solidFill>
          </w14:textFill>
        </w:rPr>
        <w:t>门体端部</w:t>
      </w:r>
      <w:r>
        <w:rPr>
          <w:rFonts w:hint="eastAsia" w:ascii="宋体" w:hAnsi="宋体" w:cs="宋体"/>
          <w:color w:val="000000" w:themeColor="text1"/>
          <w:sz w:val="24"/>
          <w:szCs w:val="24"/>
          <w:lang w:eastAsia="zh-CN"/>
          <w14:textFill>
            <w14:solidFill>
              <w14:schemeClr w14:val="tx1"/>
            </w14:solidFill>
          </w14:textFill>
        </w:rPr>
        <w:t>不少于</w:t>
      </w:r>
      <w:r>
        <w:rPr>
          <w:rFonts w:hint="eastAsia" w:ascii="宋体" w:hAnsi="宋体" w:eastAsia="宋体" w:cs="宋体"/>
          <w:color w:val="000000" w:themeColor="text1"/>
          <w:sz w:val="24"/>
          <w:szCs w:val="24"/>
          <w:lang w:eastAsia="zh-CN"/>
          <w14:textFill>
            <w14:solidFill>
              <w14:schemeClr w14:val="tx1"/>
            </w14:solidFill>
          </w14:textFill>
        </w:rPr>
        <w:t>一组</w:t>
      </w:r>
      <w:r>
        <w:rPr>
          <w:rFonts w:hint="eastAsia" w:ascii="宋体" w:hAnsi="宋体" w:eastAsia="宋体" w:cs="宋体"/>
          <w:color w:val="000000" w:themeColor="text1"/>
          <w:sz w:val="24"/>
          <w:szCs w:val="24"/>
          <w:lang w:val="en-US" w:eastAsia="zh-CN"/>
          <w14:textFill>
            <w14:solidFill>
              <w14:schemeClr w14:val="tx1"/>
            </w14:solidFill>
          </w14:textFill>
        </w:rPr>
        <w:t>橡胶</w:t>
      </w:r>
      <w:r>
        <w:rPr>
          <w:rFonts w:hint="eastAsia" w:ascii="宋体" w:hAnsi="宋体" w:eastAsia="宋体" w:cs="宋体"/>
          <w:color w:val="000000" w:themeColor="text1"/>
          <w:sz w:val="24"/>
          <w:szCs w:val="24"/>
          <w:lang w:eastAsia="zh-CN"/>
          <w14:textFill>
            <w14:solidFill>
              <w14:schemeClr w14:val="tx1"/>
            </w14:solidFill>
          </w14:textFill>
        </w:rPr>
        <w:t>走轮，走轮直径为</w:t>
      </w:r>
      <w:r>
        <w:rPr>
          <w:rFonts w:hint="eastAsia" w:ascii="宋体" w:hAnsi="宋体" w:eastAsia="宋体" w:cs="宋体"/>
          <w:color w:val="000000" w:themeColor="text1"/>
          <w:sz w:val="24"/>
          <w:szCs w:val="24"/>
          <w:lang w:val="en-US" w:eastAsia="zh-CN"/>
          <w14:textFill>
            <w14:solidFill>
              <w14:schemeClr w14:val="tx1"/>
            </w14:solidFill>
          </w14:textFill>
        </w:rPr>
        <w:t>16-18cm</w:t>
      </w:r>
      <w:r>
        <w:rPr>
          <w:rFonts w:hint="eastAsia" w:ascii="宋体" w:hAnsi="宋体" w:cs="宋体"/>
          <w:color w:val="000000" w:themeColor="text1"/>
          <w:sz w:val="24"/>
          <w:szCs w:val="24"/>
          <w:lang w:val="en-US" w:eastAsia="zh-CN"/>
          <w14:textFill>
            <w14:solidFill>
              <w14:schemeClr w14:val="tx1"/>
            </w14:solidFill>
          </w14:textFill>
        </w:rPr>
        <w:t>；不少于一组橡胶走轮改为不少于一组铅合金橡胶走轮。</w:t>
      </w:r>
    </w:p>
    <w:p>
      <w:pPr>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5.6磁敏限位功能：</w:t>
      </w:r>
      <w:r>
        <w:rPr>
          <w:rFonts w:hint="eastAsia" w:ascii="宋体" w:hAnsi="宋体" w:eastAsia="宋体" w:cs="宋体"/>
          <w:color w:val="000000" w:themeColor="text1"/>
          <w:sz w:val="24"/>
          <w:szCs w:val="24"/>
          <w14:textFill>
            <w14:solidFill>
              <w14:schemeClr w14:val="tx1"/>
            </w14:solidFill>
          </w14:textFill>
        </w:rPr>
        <w:t>机头安装有开、关门限位磁敏开关，每次开、关门到位时门体都能自动停止运行。</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5.7门体功能：</w:t>
      </w:r>
      <w:r>
        <w:rPr>
          <w:rFonts w:hint="eastAsia" w:ascii="宋体" w:hAnsi="宋体" w:eastAsia="宋体" w:cs="宋体"/>
          <w:color w:val="000000" w:themeColor="text1"/>
          <w:sz w:val="24"/>
          <w:szCs w:val="24"/>
          <w14:textFill>
            <w14:solidFill>
              <w14:schemeClr w14:val="tx1"/>
            </w14:solidFill>
          </w14:textFill>
        </w:rPr>
        <w:t>门体上下框结构采用独特的防雨、沙尘进入设计，有效阻隔雨、沙尘进入上下框内侧，确保恶劣环境情况不会影响门的正常使用。</w:t>
      </w:r>
      <w:r>
        <w:rPr>
          <w:rFonts w:hint="eastAsia" w:ascii="宋体" w:hAnsi="宋体" w:eastAsia="宋体" w:cs="宋体"/>
          <w:color w:val="000000" w:themeColor="text1"/>
          <w:sz w:val="24"/>
          <w:szCs w:val="24"/>
          <w:lang w:eastAsia="zh-CN"/>
          <w14:textFill>
            <w14:solidFill>
              <w14:schemeClr w14:val="tx1"/>
            </w14:solidFill>
          </w14:textFill>
        </w:rPr>
        <w:t>门体</w:t>
      </w:r>
      <w:r>
        <w:rPr>
          <w:rFonts w:hint="eastAsia" w:ascii="宋体" w:hAnsi="宋体" w:eastAsia="宋体" w:cs="宋体"/>
          <w:color w:val="000000" w:themeColor="text1"/>
          <w:sz w:val="24"/>
          <w:szCs w:val="24"/>
          <w14:textFill>
            <w14:solidFill>
              <w14:schemeClr w14:val="tx1"/>
            </w14:solidFill>
          </w14:textFill>
        </w:rPr>
        <w:t>抗风能力</w:t>
      </w:r>
      <w:r>
        <w:rPr>
          <w:rFonts w:hint="eastAsia" w:ascii="宋体" w:hAnsi="宋体" w:eastAsia="宋体" w:cs="宋体"/>
          <w:color w:val="000000" w:themeColor="text1"/>
          <w:sz w:val="24"/>
          <w:szCs w:val="24"/>
          <w:lang w:eastAsia="zh-CN"/>
          <w14:textFill>
            <w14:solidFill>
              <w14:schemeClr w14:val="tx1"/>
            </w14:solidFill>
          </w14:textFill>
        </w:rPr>
        <w:t>极</w:t>
      </w:r>
      <w:r>
        <w:rPr>
          <w:rFonts w:hint="eastAsia" w:ascii="宋体" w:hAnsi="宋体" w:eastAsia="宋体" w:cs="宋体"/>
          <w:color w:val="000000" w:themeColor="text1"/>
          <w:sz w:val="24"/>
          <w:szCs w:val="24"/>
          <w14:textFill>
            <w14:solidFill>
              <w14:schemeClr w14:val="tx1"/>
            </w14:solidFill>
          </w14:textFill>
        </w:rPr>
        <w:t>强，运行平稳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净空范围内无需预埋路轨。</w:t>
      </w:r>
      <w:r>
        <w:rPr>
          <w:rFonts w:hint="eastAsia" w:ascii="宋体" w:hAnsi="宋体" w:eastAsia="宋体" w:cs="宋体"/>
          <w:b w:val="0"/>
          <w:bCs w:val="0"/>
          <w:color w:val="000000" w:themeColor="text1"/>
          <w:sz w:val="24"/>
          <w:szCs w:val="24"/>
          <w:lang w:eastAsia="zh-CN"/>
          <w14:textFill>
            <w14:solidFill>
              <w14:schemeClr w14:val="tx1"/>
            </w14:solidFill>
          </w14:textFill>
        </w:rPr>
        <w:t>门体整体</w:t>
      </w:r>
      <w:r>
        <w:rPr>
          <w:rFonts w:hint="eastAsia" w:ascii="宋体" w:hAnsi="宋体" w:eastAsia="宋体" w:cs="宋体"/>
          <w:b w:val="0"/>
          <w:bCs w:val="0"/>
          <w:color w:val="000000" w:themeColor="text1"/>
          <w:sz w:val="24"/>
          <w:szCs w:val="24"/>
          <w14:textFill>
            <w14:solidFill>
              <w14:schemeClr w14:val="tx1"/>
            </w14:solidFill>
          </w14:textFill>
        </w:rPr>
        <w:t>采用</w:t>
      </w:r>
      <w:r>
        <w:rPr>
          <w:rFonts w:hint="eastAsia" w:ascii="宋体" w:hAnsi="宋体" w:eastAsia="宋体" w:cs="宋体"/>
          <w:b w:val="0"/>
          <w:bCs w:val="0"/>
          <w:color w:val="000000" w:themeColor="text1"/>
          <w:sz w:val="24"/>
          <w:szCs w:val="24"/>
          <w:lang w:val="en-US" w:eastAsia="zh-CN"/>
          <w14:textFill>
            <w14:solidFill>
              <w14:schemeClr w14:val="tx1"/>
            </w14:solidFill>
          </w14:textFill>
        </w:rPr>
        <w:t>6063-T5国标铝合金材质</w:t>
      </w:r>
      <w:r>
        <w:rPr>
          <w:rFonts w:hint="eastAsia" w:ascii="宋体" w:hAnsi="宋体" w:eastAsia="宋体" w:cs="宋体"/>
          <w:b w:val="0"/>
          <w:bCs w:val="0"/>
          <w:color w:val="000000" w:themeColor="text1"/>
          <w:sz w:val="24"/>
          <w:szCs w:val="24"/>
          <w14:textFill>
            <w14:solidFill>
              <w14:schemeClr w14:val="tx1"/>
            </w14:solidFill>
          </w14:textFill>
        </w:rPr>
        <w:t>制作而成，</w:t>
      </w:r>
      <w:r>
        <w:rPr>
          <w:rFonts w:hint="eastAsia" w:ascii="宋体" w:hAnsi="宋体" w:eastAsia="宋体" w:cs="宋体"/>
          <w:b w:val="0"/>
          <w:bCs w:val="0"/>
          <w:color w:val="000000" w:themeColor="text1"/>
          <w:sz w:val="24"/>
          <w:szCs w:val="24"/>
          <w:lang w:eastAsia="zh-CN"/>
          <w14:textFill>
            <w14:solidFill>
              <w14:schemeClr w14:val="tx1"/>
            </w14:solidFill>
          </w14:textFill>
        </w:rPr>
        <w:t>不易断裂或变形，高强度航空级，</w:t>
      </w:r>
      <w:r>
        <w:rPr>
          <w:rFonts w:hint="eastAsia" w:ascii="宋体" w:hAnsi="宋体" w:eastAsia="宋体" w:cs="宋体"/>
          <w:b w:val="0"/>
          <w:bCs w:val="0"/>
          <w:color w:val="000000" w:themeColor="text1"/>
          <w:sz w:val="24"/>
          <w:szCs w:val="24"/>
          <w14:textFill>
            <w14:solidFill>
              <w14:schemeClr w14:val="tx1"/>
            </w14:solidFill>
          </w14:textFill>
        </w:rPr>
        <w:t>永不生锈，无焊接</w:t>
      </w:r>
      <w:r>
        <w:rPr>
          <w:rFonts w:hint="eastAsia" w:ascii="宋体" w:hAnsi="宋体" w:eastAsia="宋体" w:cs="宋体"/>
          <w:b w:val="0"/>
          <w:bCs w:val="0"/>
          <w:color w:val="000000" w:themeColor="text1"/>
          <w:sz w:val="24"/>
          <w:szCs w:val="24"/>
          <w:lang w:eastAsia="zh-CN"/>
          <w14:textFill>
            <w14:solidFill>
              <w14:schemeClr w14:val="tx1"/>
            </w14:solidFill>
          </w14:textFill>
        </w:rPr>
        <w:t>，抗腐蚀性能优良，不允许门体出现有塑料材质等，如门体出现塑料材质或者有焊接部分视为不合格。</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5.8</w:t>
      </w:r>
      <w:r>
        <w:rPr>
          <w:rFonts w:hint="eastAsia" w:ascii="宋体" w:hAnsi="宋体" w:eastAsia="宋体" w:cs="宋体"/>
          <w:b w:val="0"/>
          <w:bCs w:val="0"/>
          <w:color w:val="000000" w:themeColor="text1"/>
          <w:sz w:val="24"/>
          <w:szCs w:val="24"/>
          <w:lang w:eastAsia="zh-CN"/>
          <w14:textFill>
            <w14:solidFill>
              <w14:schemeClr w14:val="tx1"/>
            </w14:solidFill>
          </w14:textFill>
        </w:rPr>
        <w:t>过</w:t>
      </w:r>
      <w:r>
        <w:rPr>
          <w:rFonts w:hint="eastAsia" w:ascii="宋体" w:hAnsi="宋体" w:eastAsia="宋体" w:cs="宋体"/>
          <w:b w:val="0"/>
          <w:bCs w:val="0"/>
          <w:color w:val="000000" w:themeColor="text1"/>
          <w:sz w:val="24"/>
          <w:szCs w:val="24"/>
          <w14:textFill>
            <w14:solidFill>
              <w14:schemeClr w14:val="tx1"/>
            </w14:solidFill>
          </w14:textFill>
        </w:rPr>
        <w:t>载保护</w:t>
      </w:r>
      <w:r>
        <w:rPr>
          <w:rFonts w:hint="eastAsia" w:ascii="宋体" w:hAnsi="宋体" w:eastAsia="宋体" w:cs="宋体"/>
          <w:b w:val="0"/>
          <w:bCs w:val="0"/>
          <w:color w:val="000000" w:themeColor="text1"/>
          <w:sz w:val="24"/>
          <w:szCs w:val="24"/>
          <w:lang w:eastAsia="zh-CN"/>
          <w14:textFill>
            <w14:solidFill>
              <w14:schemeClr w14:val="tx1"/>
            </w14:solidFill>
          </w14:textFill>
        </w:rPr>
        <w:t>装置：</w:t>
      </w:r>
      <w:r>
        <w:rPr>
          <w:rFonts w:hint="eastAsia" w:ascii="宋体" w:hAnsi="宋体" w:eastAsia="宋体" w:cs="宋体"/>
          <w:b w:val="0"/>
          <w:bCs w:val="0"/>
          <w:color w:val="000000" w:themeColor="text1"/>
          <w:sz w:val="24"/>
          <w:szCs w:val="24"/>
          <w14:textFill>
            <w14:solidFill>
              <w14:schemeClr w14:val="tx1"/>
            </w14:solidFill>
          </w14:textFill>
        </w:rPr>
        <w:t>当电机温升达到1</w:t>
      </w: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14:textFill>
            <w14:solidFill>
              <w14:schemeClr w14:val="tx1"/>
            </w14:solidFill>
          </w14:textFill>
        </w:rPr>
        <w:t>℃电机会停止工作，保护电机使用寿命</w:t>
      </w:r>
      <w:r>
        <w:rPr>
          <w:rFonts w:hint="eastAsia" w:ascii="宋体" w:hAnsi="宋体" w:eastAsia="宋体" w:cs="宋体"/>
          <w:b w:val="0"/>
          <w:bCs w:val="0"/>
          <w:color w:val="000000" w:themeColor="text1"/>
          <w:sz w:val="24"/>
          <w:szCs w:val="24"/>
          <w:lang w:eastAsia="zh-CN"/>
          <w14:textFill>
            <w14:solidFill>
              <w14:schemeClr w14:val="tx1"/>
            </w14:solidFill>
          </w14:textFill>
        </w:rPr>
        <w:t>，电压对人体不产生任何人身安全隐患。</w:t>
      </w:r>
      <w:r>
        <w:rPr>
          <w:rFonts w:hint="eastAsia" w:ascii="宋体" w:hAnsi="宋体" w:eastAsia="宋体" w:cs="宋体"/>
          <w:b w:val="0"/>
          <w:bCs w:val="0"/>
          <w:color w:val="000000" w:themeColor="text1"/>
          <w:sz w:val="24"/>
          <w:szCs w:val="24"/>
          <w14:textFill>
            <w14:solidFill>
              <w14:schemeClr w14:val="tx1"/>
            </w14:solidFill>
          </w14:textFill>
        </w:rPr>
        <w:t xml:space="preserve"> </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5.9提示功能：</w:t>
      </w:r>
      <w:r>
        <w:rPr>
          <w:rFonts w:hint="eastAsia" w:ascii="宋体" w:hAnsi="宋体" w:eastAsia="宋体" w:cs="宋体"/>
          <w:color w:val="000000" w:themeColor="text1"/>
          <w:sz w:val="24"/>
          <w:szCs w:val="24"/>
          <w14:textFill>
            <w14:solidFill>
              <w14:schemeClr w14:val="tx1"/>
            </w14:solidFill>
          </w14:textFill>
        </w:rPr>
        <w:t>门体运行时有提示装置如</w:t>
      </w:r>
      <w:r>
        <w:rPr>
          <w:rFonts w:hint="eastAsia" w:ascii="宋体" w:hAnsi="宋体" w:eastAsia="宋体" w:cs="宋体"/>
          <w:color w:val="000000" w:themeColor="text1"/>
          <w:sz w:val="24"/>
          <w:szCs w:val="24"/>
          <w:lang w:eastAsia="zh-CN"/>
          <w14:textFill>
            <w14:solidFill>
              <w14:schemeClr w14:val="tx1"/>
            </w14:solidFill>
          </w14:textFill>
        </w:rPr>
        <w:t>声音和</w:t>
      </w:r>
      <w:r>
        <w:rPr>
          <w:rFonts w:hint="eastAsia" w:ascii="宋体" w:hAnsi="宋体" w:eastAsia="宋体" w:cs="宋体"/>
          <w:color w:val="000000" w:themeColor="text1"/>
          <w:sz w:val="24"/>
          <w:szCs w:val="24"/>
          <w14:textFill>
            <w14:solidFill>
              <w14:schemeClr w14:val="tx1"/>
            </w14:solidFill>
          </w14:textFill>
        </w:rPr>
        <w:t>显示屏</w:t>
      </w:r>
      <w:r>
        <w:rPr>
          <w:rFonts w:hint="eastAsia" w:ascii="宋体" w:hAnsi="宋体" w:eastAsia="宋体" w:cs="宋体"/>
          <w:color w:val="000000" w:themeColor="text1"/>
          <w:sz w:val="24"/>
          <w:szCs w:val="24"/>
          <w:lang w:eastAsia="zh-CN"/>
          <w14:textFill>
            <w14:solidFill>
              <w14:schemeClr w14:val="tx1"/>
            </w14:solidFill>
          </w14:textFill>
        </w:rPr>
        <w:t>随门体来回转动</w:t>
      </w:r>
      <w:r>
        <w:rPr>
          <w:rFonts w:hint="eastAsia" w:ascii="宋体" w:hAnsi="宋体" w:eastAsia="宋体" w:cs="宋体"/>
          <w:color w:val="000000" w:themeColor="text1"/>
          <w:sz w:val="24"/>
          <w:szCs w:val="24"/>
          <w14:textFill>
            <w14:solidFill>
              <w14:schemeClr w14:val="tx1"/>
            </w14:solidFill>
          </w14:textFill>
        </w:rPr>
        <w:t xml:space="preserve">，吸引车辆和人员注意。                                              </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w:t>
      </w:r>
      <w:r>
        <w:rPr>
          <w:rFonts w:hint="eastAsia" w:ascii="宋体" w:hAnsi="宋体" w:eastAsia="宋体" w:cs="宋体"/>
          <w:color w:val="000000" w:themeColor="text1"/>
          <w:sz w:val="24"/>
          <w:szCs w:val="24"/>
          <w14:textFill>
            <w14:solidFill>
              <w14:schemeClr w14:val="tx1"/>
            </w14:solidFill>
          </w14:textFill>
        </w:rPr>
        <w:t>安全防盗</w:t>
      </w:r>
      <w:r>
        <w:rPr>
          <w:rFonts w:hint="eastAsia" w:ascii="宋体" w:hAnsi="宋体" w:eastAsia="宋体" w:cs="宋体"/>
          <w:color w:val="000000" w:themeColor="text1"/>
          <w:sz w:val="24"/>
          <w:szCs w:val="24"/>
          <w:lang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：门体在停止状态</w:t>
      </w:r>
      <w:r>
        <w:rPr>
          <w:rFonts w:hint="eastAsia" w:ascii="宋体" w:hAnsi="宋体" w:eastAsia="宋体" w:cs="宋体"/>
          <w:color w:val="000000" w:themeColor="text1"/>
          <w:sz w:val="24"/>
          <w:szCs w:val="24"/>
          <w:lang w:eastAsia="zh-CN"/>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，通过减速箱的涡轮蜗杆机构，实现门体自锁，外力不能推开。</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w:t>
      </w:r>
      <w:r>
        <w:rPr>
          <w:rFonts w:hint="eastAsia" w:ascii="宋体" w:hAnsi="宋体" w:eastAsia="宋体" w:cs="宋体"/>
          <w:color w:val="000000" w:themeColor="text1"/>
          <w:sz w:val="24"/>
          <w:szCs w:val="24"/>
          <w14:textFill>
            <w14:solidFill>
              <w14:schemeClr w14:val="tx1"/>
            </w14:solidFill>
          </w14:textFill>
        </w:rPr>
        <w:t>防爬报警</w:t>
      </w:r>
      <w:r>
        <w:rPr>
          <w:rFonts w:hint="eastAsia" w:ascii="宋体" w:hAnsi="宋体" w:eastAsia="宋体" w:cs="宋体"/>
          <w:color w:val="000000" w:themeColor="text1"/>
          <w:sz w:val="24"/>
          <w:szCs w:val="24"/>
          <w:lang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：门体配置带红外的监控防翻越探测系统。当门体处于关门到位状态下，红外线感应到障碍物，此时控制箱内报警器发出报警</w:t>
      </w:r>
      <w:r>
        <w:rPr>
          <w:rFonts w:hint="eastAsia" w:ascii="宋体" w:hAnsi="宋体" w:eastAsia="宋体" w:cs="宋体"/>
          <w:color w:val="000000" w:themeColor="text1"/>
          <w:sz w:val="24"/>
          <w:szCs w:val="24"/>
          <w:lang w:eastAsia="zh-CN"/>
          <w14:textFill>
            <w14:solidFill>
              <w14:schemeClr w14:val="tx1"/>
            </w14:solidFill>
          </w14:textFill>
        </w:rPr>
        <w:t>，也可通过控制器停止键或开门键解除报警。</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w:t>
      </w:r>
      <w:r>
        <w:rPr>
          <w:rFonts w:hint="eastAsia" w:ascii="宋体" w:hAnsi="宋体" w:eastAsia="宋体" w:cs="宋体"/>
          <w:color w:val="000000" w:themeColor="text1"/>
          <w:sz w:val="24"/>
          <w:szCs w:val="24"/>
          <w14:textFill>
            <w14:solidFill>
              <w14:schemeClr w14:val="tx1"/>
            </w14:solidFill>
          </w14:textFill>
        </w:rPr>
        <w:t>紧急停止功能：</w:t>
      </w:r>
      <w:r>
        <w:rPr>
          <w:rFonts w:hint="eastAsia" w:ascii="宋体" w:hAnsi="宋体" w:eastAsia="宋体" w:cs="宋体"/>
          <w:color w:val="000000" w:themeColor="text1"/>
          <w:sz w:val="24"/>
          <w:szCs w:val="24"/>
          <w:lang w:eastAsia="zh-CN"/>
          <w14:textFill>
            <w14:solidFill>
              <w14:schemeClr w14:val="tx1"/>
            </w14:solidFill>
          </w14:textFill>
        </w:rPr>
        <w:t>门体在</w:t>
      </w:r>
      <w:r>
        <w:rPr>
          <w:rFonts w:hint="eastAsia" w:ascii="宋体" w:hAnsi="宋体" w:eastAsia="宋体" w:cs="宋体"/>
          <w:color w:val="000000" w:themeColor="text1"/>
          <w:sz w:val="24"/>
          <w:szCs w:val="24"/>
          <w14:textFill>
            <w14:solidFill>
              <w14:schemeClr w14:val="tx1"/>
            </w14:solidFill>
          </w14:textFill>
        </w:rPr>
        <w:t>运行状态下，遇到紧急情况，可通过紧急停止开关快速切断主控制箱电源</w:t>
      </w:r>
      <w:r>
        <w:rPr>
          <w:rFonts w:hint="eastAsia" w:ascii="宋体" w:hAnsi="宋体" w:eastAsia="宋体" w:cs="宋体"/>
          <w:color w:val="000000" w:themeColor="text1"/>
          <w:sz w:val="24"/>
          <w:szCs w:val="24"/>
          <w:lang w:eastAsia="zh-CN"/>
          <w14:textFill>
            <w14:solidFill>
              <w14:schemeClr w14:val="tx1"/>
            </w14:solidFill>
          </w14:textFill>
        </w:rPr>
        <w:t>，实现紧急停止，确保安全。</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w:t>
      </w:r>
      <w:r>
        <w:rPr>
          <w:rFonts w:hint="eastAsia" w:ascii="宋体" w:hAnsi="宋体" w:eastAsia="宋体" w:cs="宋体"/>
          <w:color w:val="000000" w:themeColor="text1"/>
          <w:sz w:val="24"/>
          <w:szCs w:val="24"/>
          <w14:textFill>
            <w14:solidFill>
              <w14:schemeClr w14:val="tx1"/>
            </w14:solidFill>
          </w14:textFill>
        </w:rPr>
        <w:t>手动离合</w:t>
      </w:r>
      <w:r>
        <w:rPr>
          <w:rFonts w:hint="eastAsia" w:ascii="宋体" w:hAnsi="宋体" w:eastAsia="宋体" w:cs="宋体"/>
          <w:color w:val="000000" w:themeColor="text1"/>
          <w:sz w:val="24"/>
          <w:szCs w:val="24"/>
          <w:lang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门体</w:t>
      </w:r>
      <w:r>
        <w:rPr>
          <w:rFonts w:hint="eastAsia" w:ascii="宋体" w:hAnsi="宋体" w:eastAsia="宋体" w:cs="宋体"/>
          <w:color w:val="000000" w:themeColor="text1"/>
          <w:sz w:val="24"/>
          <w:szCs w:val="24"/>
          <w14:textFill>
            <w14:solidFill>
              <w14:schemeClr w14:val="tx1"/>
            </w14:solidFill>
          </w14:textFill>
        </w:rPr>
        <w:t>装有手动离合装置，停电</w:t>
      </w:r>
      <w:r>
        <w:rPr>
          <w:rFonts w:hint="eastAsia" w:ascii="宋体" w:hAnsi="宋体" w:eastAsia="宋体" w:cs="宋体"/>
          <w:color w:val="000000" w:themeColor="text1"/>
          <w:sz w:val="24"/>
          <w:szCs w:val="24"/>
          <w:lang w:eastAsia="zh-CN"/>
          <w14:textFill>
            <w14:solidFill>
              <w14:schemeClr w14:val="tx1"/>
            </w14:solidFill>
          </w14:textFill>
        </w:rPr>
        <w:t>或检修</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可通过离合钥匙打开门离合</w:t>
      </w:r>
      <w:r>
        <w:rPr>
          <w:rFonts w:hint="eastAsia" w:ascii="宋体" w:hAnsi="宋体" w:eastAsia="宋体" w:cs="宋体"/>
          <w:color w:val="000000" w:themeColor="text1"/>
          <w:sz w:val="24"/>
          <w:szCs w:val="24"/>
          <w:lang w:eastAsia="zh-CN"/>
          <w14:textFill>
            <w14:solidFill>
              <w14:schemeClr w14:val="tx1"/>
            </w14:solidFill>
          </w14:textFill>
        </w:rPr>
        <w:t>手柄，然后以手动方式</w:t>
      </w:r>
      <w:r>
        <w:rPr>
          <w:rFonts w:hint="eastAsia" w:ascii="宋体" w:hAnsi="宋体" w:eastAsia="宋体" w:cs="宋体"/>
          <w:color w:val="000000" w:themeColor="text1"/>
          <w:sz w:val="24"/>
          <w:szCs w:val="24"/>
          <w14:textFill>
            <w14:solidFill>
              <w14:schemeClr w14:val="tx1"/>
            </w14:solidFill>
          </w14:textFill>
        </w:rPr>
        <w:t>推动门体。</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w:t>
      </w:r>
      <w:r>
        <w:rPr>
          <w:rFonts w:hint="eastAsia" w:ascii="宋体" w:hAnsi="宋体" w:eastAsia="宋体" w:cs="宋体"/>
          <w:color w:val="000000" w:themeColor="text1"/>
          <w:sz w:val="24"/>
          <w:szCs w:val="24"/>
          <w14:textFill>
            <w14:solidFill>
              <w14:schemeClr w14:val="tx1"/>
            </w14:solidFill>
          </w14:textFill>
        </w:rPr>
        <w:t>漏电保护功能：</w:t>
      </w:r>
      <w:r>
        <w:rPr>
          <w:rFonts w:hint="eastAsia" w:ascii="宋体" w:hAnsi="宋体" w:eastAsia="宋体" w:cs="宋体"/>
          <w:color w:val="000000" w:themeColor="text1"/>
          <w:sz w:val="24"/>
          <w:szCs w:val="24"/>
          <w:lang w:eastAsia="zh-CN"/>
          <w14:textFill>
            <w14:solidFill>
              <w14:schemeClr w14:val="tx1"/>
            </w14:solidFill>
          </w14:textFill>
        </w:rPr>
        <w:t>门体</w:t>
      </w:r>
      <w:r>
        <w:rPr>
          <w:rFonts w:hint="eastAsia" w:ascii="宋体" w:hAnsi="宋体" w:eastAsia="宋体" w:cs="宋体"/>
          <w:color w:val="000000" w:themeColor="text1"/>
          <w:sz w:val="24"/>
          <w:szCs w:val="24"/>
          <w14:textFill>
            <w14:solidFill>
              <w14:schemeClr w14:val="tx1"/>
            </w14:solidFill>
          </w14:textFill>
        </w:rPr>
        <w:t>带有漏电保护功能，能对控制系统实现过流过压保护。</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w:t>
      </w:r>
      <w:r>
        <w:rPr>
          <w:rFonts w:hint="eastAsia" w:ascii="宋体" w:hAnsi="宋体" w:eastAsia="宋体" w:cs="宋体"/>
          <w:color w:val="000000" w:themeColor="text1"/>
          <w:sz w:val="24"/>
          <w:szCs w:val="24"/>
          <w14:textFill>
            <w14:solidFill>
              <w14:schemeClr w14:val="tx1"/>
            </w14:solidFill>
          </w14:textFill>
        </w:rPr>
        <w:t>接地保护措施：控制箱底部设置接地装置并有明显的接地标志。电机</w:t>
      </w:r>
      <w:r>
        <w:rPr>
          <w:rFonts w:hint="eastAsia" w:ascii="宋体" w:hAnsi="宋体" w:eastAsia="宋体" w:cs="宋体"/>
          <w:color w:val="000000" w:themeColor="text1"/>
          <w:sz w:val="24"/>
          <w:szCs w:val="24"/>
          <w:lang w:eastAsia="zh-CN"/>
          <w14:textFill>
            <w14:solidFill>
              <w14:schemeClr w14:val="tx1"/>
            </w14:solidFill>
          </w14:textFill>
        </w:rPr>
        <w:t>装</w:t>
      </w:r>
      <w:r>
        <w:rPr>
          <w:rFonts w:hint="eastAsia" w:ascii="宋体" w:hAnsi="宋体" w:eastAsia="宋体" w:cs="宋体"/>
          <w:color w:val="000000" w:themeColor="text1"/>
          <w:sz w:val="24"/>
          <w:szCs w:val="24"/>
          <w14:textFill>
            <w14:solidFill>
              <w14:schemeClr w14:val="tx1"/>
            </w14:solidFill>
          </w14:textFill>
        </w:rPr>
        <w:t>置于主控箱内，防雨水设施完善，</w:t>
      </w:r>
      <w:r>
        <w:rPr>
          <w:rFonts w:hint="eastAsia" w:ascii="宋体" w:hAnsi="宋体" w:eastAsia="宋体" w:cs="宋体"/>
          <w:color w:val="000000" w:themeColor="text1"/>
          <w:sz w:val="24"/>
          <w:szCs w:val="24"/>
          <w:lang w:eastAsia="zh-CN"/>
          <w14:textFill>
            <w14:solidFill>
              <w14:schemeClr w14:val="tx1"/>
            </w14:solidFill>
          </w14:textFill>
        </w:rPr>
        <w:t>保护措施安全</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5.16二涂二烤工艺：门体采用二涂二烤</w:t>
      </w:r>
      <w:r>
        <w:rPr>
          <w:rFonts w:hint="eastAsia" w:ascii="宋体" w:hAnsi="宋体" w:eastAsia="宋体" w:cs="宋体"/>
          <w:color w:val="000000" w:themeColor="text1"/>
          <w:sz w:val="24"/>
          <w:szCs w:val="24"/>
          <w14:textFill>
            <w14:solidFill>
              <w14:schemeClr w14:val="tx1"/>
            </w14:solidFill>
          </w14:textFill>
        </w:rPr>
        <w:t>喷涂</w:t>
      </w:r>
      <w:r>
        <w:rPr>
          <w:rFonts w:hint="eastAsia" w:ascii="宋体" w:hAnsi="宋体" w:eastAsia="宋体" w:cs="宋体"/>
          <w:color w:val="000000" w:themeColor="text1"/>
          <w:sz w:val="24"/>
          <w:szCs w:val="24"/>
          <w:lang w:val="en-US" w:eastAsia="zh-CN"/>
          <w14:textFill>
            <w14:solidFill>
              <w14:schemeClr w14:val="tx1"/>
            </w14:solidFill>
          </w14:textFill>
        </w:rPr>
        <w:t>烤漆工艺，保证产品不褪色、不爆裂（附有检测报告），</w:t>
      </w:r>
      <w:r>
        <w:rPr>
          <w:rFonts w:hint="eastAsia" w:ascii="宋体" w:hAnsi="宋体" w:eastAsia="宋体" w:cs="宋体"/>
          <w:color w:val="000000" w:themeColor="text1"/>
          <w:sz w:val="24"/>
          <w:szCs w:val="24"/>
          <w14:textFill>
            <w14:solidFill>
              <w14:schemeClr w14:val="tx1"/>
            </w14:solidFill>
          </w14:textFill>
        </w:rPr>
        <w:t>底面喷涂附着力强，防止面层剥落；面漆采用氟碳涂料，</w:t>
      </w:r>
      <w:r>
        <w:rPr>
          <w:rFonts w:hint="eastAsia" w:ascii="宋体" w:hAnsi="宋体" w:eastAsia="宋体" w:cs="宋体"/>
          <w:color w:val="000000" w:themeColor="text1"/>
          <w:sz w:val="24"/>
          <w:szCs w:val="24"/>
          <w:lang w:eastAsia="zh-CN"/>
          <w14:textFill>
            <w14:solidFill>
              <w14:schemeClr w14:val="tx1"/>
            </w14:solidFill>
          </w14:textFill>
        </w:rPr>
        <w:t>阳极</w:t>
      </w:r>
      <w:r>
        <w:rPr>
          <w:rFonts w:hint="eastAsia" w:ascii="宋体" w:hAnsi="宋体" w:eastAsia="宋体" w:cs="宋体"/>
          <w:color w:val="000000" w:themeColor="text1"/>
          <w:sz w:val="24"/>
          <w:szCs w:val="24"/>
          <w14:textFill>
            <w14:solidFill>
              <w14:schemeClr w14:val="tx1"/>
            </w14:solidFill>
          </w14:textFill>
        </w:rPr>
        <w:t>氧化</w:t>
      </w:r>
      <w:r>
        <w:rPr>
          <w:rFonts w:hint="eastAsia" w:ascii="宋体" w:hAnsi="宋体" w:eastAsia="宋体" w:cs="宋体"/>
          <w:color w:val="000000" w:themeColor="text1"/>
          <w:sz w:val="24"/>
          <w:szCs w:val="24"/>
          <w:lang w:eastAsia="zh-CN"/>
          <w14:textFill>
            <w14:solidFill>
              <w14:schemeClr w14:val="tx1"/>
            </w14:solidFill>
          </w14:textFill>
        </w:rPr>
        <w:t>处理</w:t>
      </w:r>
      <w:r>
        <w:rPr>
          <w:rFonts w:hint="eastAsia" w:ascii="宋体" w:hAnsi="宋体" w:eastAsia="宋体" w:cs="宋体"/>
          <w:color w:val="000000" w:themeColor="text1"/>
          <w:sz w:val="24"/>
          <w:szCs w:val="24"/>
          <w14:textFill>
            <w14:solidFill>
              <w14:schemeClr w14:val="tx1"/>
            </w14:solidFill>
          </w14:textFill>
        </w:rPr>
        <w:t>能力强。</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5.17</w:t>
      </w:r>
      <w:r>
        <w:rPr>
          <w:rFonts w:hint="eastAsia" w:ascii="宋体" w:hAnsi="宋体" w:eastAsia="宋体" w:cs="宋体"/>
          <w:color w:val="000000" w:themeColor="text1"/>
          <w:sz w:val="24"/>
          <w:szCs w:val="24"/>
          <w14:textFill>
            <w14:solidFill>
              <w14:schemeClr w14:val="tx1"/>
            </w14:solidFill>
          </w14:textFill>
        </w:rPr>
        <w:t>无触点控制系统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控制系统驱动机带红外线防爬、气囊防夹自动停止系统、语音系统、磁敏感应限位开关 (限位准确、灵敏) 等安全防范功能</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w:t>
      </w:r>
      <w:r>
        <w:rPr>
          <w:rFonts w:hint="eastAsia" w:ascii="宋体" w:hAnsi="宋体" w:eastAsia="宋体" w:cs="宋体"/>
          <w:color w:val="000000" w:themeColor="text1"/>
          <w:sz w:val="24"/>
          <w:szCs w:val="24"/>
          <w14:textFill>
            <w14:solidFill>
              <w14:schemeClr w14:val="tx1"/>
            </w14:solidFill>
          </w14:textFill>
        </w:rPr>
        <w:t>变频电机：实现平滑启动、停止 (门运行平稳)，变频调速、提高运行精度、改变功率因素，具有过流／过压／过载等功能（保护电机）</w:t>
      </w:r>
      <w:r>
        <w:rPr>
          <w:rFonts w:hint="eastAsia" w:ascii="宋体" w:hAnsi="宋体" w:eastAsia="宋体" w:cs="宋体"/>
          <w:color w:val="000000" w:themeColor="text1"/>
          <w:sz w:val="24"/>
          <w:szCs w:val="24"/>
          <w:lang w:eastAsia="zh-CN"/>
          <w14:textFill>
            <w14:solidFill>
              <w14:schemeClr w14:val="tx1"/>
            </w14:solidFill>
          </w14:textFill>
        </w:rPr>
        <w:t>。</w:t>
      </w:r>
    </w:p>
    <w:p>
      <w:pPr>
        <w:pStyle w:val="27"/>
        <w:keepNext w:val="0"/>
        <w:keepLines w:val="0"/>
        <w:widowControl/>
        <w:numPr>
          <w:ilvl w:val="0"/>
          <w:numId w:val="6"/>
        </w:numPr>
        <w:suppressLineNumbers w:val="0"/>
        <w:spacing w:before="0" w:beforeAutospacing="1" w:after="0" w:afterAutospacing="1" w:line="405" w:lineRule="atLeast"/>
        <w:ind w:left="0" w:firstLine="360"/>
        <w:jc w:val="left"/>
        <w:rPr>
          <w:rStyle w:val="32"/>
          <w:rFonts w:hint="eastAsia" w:ascii="宋体" w:hAnsi="宋体" w:eastAsia="宋体" w:cs="宋体"/>
          <w:b/>
          <w:color w:val="000000" w:themeColor="text1"/>
          <w:sz w:val="24"/>
          <w:szCs w:val="24"/>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提供样品：</w:t>
      </w:r>
    </w:p>
    <w:p>
      <w:pPr>
        <w:pStyle w:val="27"/>
        <w:keepNext w:val="0"/>
        <w:keepLines w:val="0"/>
        <w:widowControl/>
        <w:numPr>
          <w:ilvl w:val="0"/>
          <w:numId w:val="0"/>
        </w:numPr>
        <w:suppressLineNumbers w:val="0"/>
        <w:spacing w:before="0" w:beforeAutospacing="1" w:after="0" w:afterAutospacing="1" w:line="405" w:lineRule="atLeast"/>
        <w:ind w:left="360" w:leftChars="0"/>
        <w:jc w:val="left"/>
        <w:rPr>
          <w:color w:val="000000" w:themeColor="text1"/>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6.1、 样品将作为评标的重要依据之一。未提供样品或样品提供不齐全的将被视为未实质响应招标文件的技术要求按无效投标处理。提供的投标样品经评审：（成品样品及主材、配件小样）参数、外观模样、款型、材质、工艺及使用功能等与招标文件技术参数不符的则样品项不得分。</w:t>
      </w:r>
    </w:p>
    <w:p>
      <w:pPr>
        <w:pStyle w:val="27"/>
        <w:keepNext w:val="0"/>
        <w:keepLines w:val="0"/>
        <w:widowControl/>
        <w:suppressLineNumbers w:val="0"/>
        <w:spacing w:before="240" w:beforeAutospacing="0" w:after="240" w:afterAutospacing="0" w:line="405" w:lineRule="atLeast"/>
        <w:ind w:left="0" w:firstLine="360"/>
        <w:jc w:val="left"/>
        <w:rPr>
          <w:color w:val="000000" w:themeColor="text1"/>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6.2、所有样品均应粘贴标签，上面标明货物名 称、合同包号、品目号、规格尺寸，标签应粘贴牢固，书写应正楷、清晰（不得出现投标人名 称、品 牌、型号）。</w:t>
      </w:r>
    </w:p>
    <w:p>
      <w:pPr>
        <w:pStyle w:val="27"/>
        <w:keepNext w:val="0"/>
        <w:keepLines w:val="0"/>
        <w:widowControl/>
        <w:suppressLineNumbers w:val="0"/>
        <w:spacing w:before="240" w:beforeAutospacing="0" w:after="240" w:afterAutospacing="0" w:line="405" w:lineRule="atLeast"/>
        <w:ind w:left="0" w:firstLine="360"/>
        <w:jc w:val="left"/>
        <w:rPr>
          <w:color w:val="000000" w:themeColor="text1"/>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6.3、采购人有权对中标人的样品封存保留作为测试验收依据,若所提供实物与样品不符，则采购人有权退货，按合同规定进行赔偿或采购人暂时使用中标人提供的与样品不符的货物直至中标人重新提供与样品相符的货物直至采购人满意为止。</w:t>
      </w:r>
    </w:p>
    <w:p>
      <w:pPr>
        <w:pStyle w:val="27"/>
        <w:keepNext w:val="0"/>
        <w:keepLines w:val="0"/>
        <w:widowControl/>
        <w:suppressLineNumbers w:val="0"/>
        <w:spacing w:before="240" w:beforeAutospacing="0" w:after="240" w:afterAutospacing="0" w:line="405" w:lineRule="atLeast"/>
        <w:ind w:left="0" w:firstLine="360"/>
        <w:jc w:val="left"/>
        <w:rPr>
          <w:color w:val="000000" w:themeColor="text1"/>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6.4、投标人提供的样品作为本次评标委员会评审依据，若本次招标需复审，评标委员会对样品不作再次评审，样品评审结果不作更改。</w:t>
      </w:r>
    </w:p>
    <w:p>
      <w:pPr>
        <w:pStyle w:val="27"/>
        <w:keepNext w:val="0"/>
        <w:keepLines w:val="0"/>
        <w:widowControl/>
        <w:suppressLineNumbers w:val="0"/>
        <w:spacing w:before="240" w:beforeAutospacing="0" w:after="240" w:afterAutospacing="0" w:line="405" w:lineRule="atLeast"/>
        <w:ind w:left="0" w:firstLine="360"/>
        <w:jc w:val="left"/>
        <w:rPr>
          <w:color w:val="000000" w:themeColor="text1"/>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6.5、评标过程中可能对样品进行拆散检验，由此可能造成的损坏由投标人自行承担。</w:t>
      </w:r>
    </w:p>
    <w:p>
      <w:pPr>
        <w:pStyle w:val="27"/>
        <w:keepNext w:val="0"/>
        <w:keepLines w:val="0"/>
        <w:widowControl/>
        <w:suppressLineNumbers w:val="0"/>
        <w:spacing w:before="0" w:beforeAutospacing="1" w:after="0" w:afterAutospacing="1" w:line="360" w:lineRule="auto"/>
        <w:ind w:left="0" w:firstLine="360"/>
        <w:jc w:val="left"/>
        <w:rPr>
          <w:rStyle w:val="32"/>
          <w:rFonts w:hint="eastAsia" w:ascii="宋体" w:hAnsi="宋体" w:eastAsia="宋体" w:cs="宋体"/>
          <w:b/>
          <w:color w:val="000000" w:themeColor="text1"/>
          <w:sz w:val="24"/>
          <w:szCs w:val="24"/>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6.6、样品退还安排：中标人样品须交由采购人封存保留作为验收样本，未中标投标人提供的样品在开标结束后予以退还，逾期未自行处理所造成的损失由投标人自行负责。</w:t>
      </w:r>
    </w:p>
    <w:p>
      <w:pPr>
        <w:pStyle w:val="27"/>
        <w:keepNext w:val="0"/>
        <w:keepLines w:val="0"/>
        <w:widowControl/>
        <w:suppressLineNumbers w:val="0"/>
        <w:spacing w:before="0" w:beforeAutospacing="1" w:after="0" w:afterAutospacing="1" w:line="360" w:lineRule="auto"/>
        <w:ind w:left="0" w:firstLine="360"/>
        <w:jc w:val="left"/>
        <w:rPr>
          <w:rStyle w:val="32"/>
          <w:rFonts w:hint="eastAsia" w:ascii="宋体" w:hAnsi="宋体" w:eastAsia="宋体" w:cs="宋体"/>
          <w:b/>
          <w:color w:val="000000" w:themeColor="text1"/>
          <w:sz w:val="24"/>
          <w:szCs w:val="24"/>
          <w14:textFill>
            <w14:solidFill>
              <w14:schemeClr w14:val="tx1"/>
            </w14:solidFill>
          </w14:textFill>
        </w:rPr>
      </w:pPr>
      <w:r>
        <w:rPr>
          <w:rStyle w:val="32"/>
          <w:rFonts w:hint="eastAsia" w:ascii="宋体" w:hAnsi="宋体" w:eastAsia="宋体" w:cs="宋体"/>
          <w:b/>
          <w:color w:val="000000" w:themeColor="text1"/>
          <w:sz w:val="24"/>
          <w:szCs w:val="24"/>
          <w14:textFill>
            <w14:solidFill>
              <w14:schemeClr w14:val="tx1"/>
            </w14:solidFill>
          </w14:textFill>
        </w:rPr>
        <w:t>6.7、各投标人在递交投标文件同时递交以下样品各1套</w:t>
      </w:r>
    </w:p>
    <w:p>
      <w:pPr>
        <w:pStyle w:val="27"/>
        <w:keepNext w:val="0"/>
        <w:keepLines w:val="0"/>
        <w:widowControl/>
        <w:suppressLineNumbers w:val="0"/>
        <w:spacing w:before="0" w:beforeAutospacing="1" w:after="0" w:afterAutospacing="1" w:line="495" w:lineRule="atLeast"/>
        <w:ind w:left="0" w:firstLine="360"/>
        <w:jc w:val="left"/>
        <w:rPr>
          <w:rStyle w:val="32"/>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提供样品（主材）：上梁、下梁、门排立柱、门排竖管。</w:t>
      </w:r>
    </w:p>
    <w:p>
      <w:pPr>
        <w:pStyle w:val="4"/>
        <w:pageBreakBefore w:val="0"/>
        <w:tabs>
          <w:tab w:val="left" w:pos="1365"/>
        </w:tabs>
        <w:kinsoku/>
        <w:wordWrap/>
        <w:overflowPunct/>
        <w:topLinePunct w:val="0"/>
        <w:bidi w:val="0"/>
        <w:adjustRightInd w:val="0"/>
        <w:snapToGrid w:val="0"/>
        <w:spacing w:line="460" w:lineRule="exact"/>
        <w:ind w:left="0" w:leftChars="0" w:firstLine="482" w:firstLineChars="200"/>
        <w:textAlignment w:val="auto"/>
        <w:rPr>
          <w:rFonts w:hint="eastAsia" w:ascii="宋体" w:hAnsi="宋体" w:eastAsia="宋体" w:cs="宋体"/>
          <w:b/>
          <w:bCs/>
          <w:iCs/>
          <w:color w:val="000000" w:themeColor="text1"/>
          <w:sz w:val="24"/>
          <w:szCs w:val="24"/>
          <w14:textFill>
            <w14:solidFill>
              <w14:schemeClr w14:val="tx1"/>
            </w14:solidFill>
          </w14:textFill>
        </w:rPr>
      </w:pPr>
      <w:r>
        <w:rPr>
          <w:rFonts w:hint="eastAsia" w:ascii="宋体" w:hAnsi="宋体" w:eastAsia="宋体" w:cs="宋体"/>
          <w:b/>
          <w:bCs/>
          <w:iCs/>
          <w:color w:val="000000" w:themeColor="text1"/>
          <w:sz w:val="24"/>
          <w:szCs w:val="24"/>
          <w14:textFill>
            <w14:solidFill>
              <w14:schemeClr w14:val="tx1"/>
            </w14:solidFill>
          </w14:textFill>
        </w:rPr>
        <w:t>备注：以上技术要求为本采购项目基本技术要求，投标人提供的投标产品的技术参数应不低于本章设备清单中和产品子项技术要求（需逐条响应回答）。投标人严格按照采购文件采购清单中的数量、技术要求配置报价及供货，否则评委将有权认定为无效投标。若出现所供货物与采购人要求不符的，采购人将拒绝支付货款，解除合同。</w:t>
      </w:r>
    </w:p>
    <w:p>
      <w:pPr>
        <w:pStyle w:val="5"/>
        <w:numPr>
          <w:ilvl w:val="0"/>
          <w:numId w:val="7"/>
        </w:numPr>
        <w:autoSpaceDE/>
        <w:autoSpaceDN/>
        <w:adjustRightInd/>
        <w:spacing w:before="156" w:beforeLines="50" w:after="156" w:afterLines="50" w:line="500" w:lineRule="exact"/>
        <w:jc w:val="both"/>
        <w:textAlignment w:val="auto"/>
        <w:rPr>
          <w:rFonts w:hint="eastAsia" w:hAnsi="宋体"/>
          <w:color w:val="000000" w:themeColor="text1"/>
          <w:sz w:val="24"/>
          <w:szCs w:val="24"/>
          <w14:textFill>
            <w14:solidFill>
              <w14:schemeClr w14:val="tx1"/>
            </w14:solidFill>
          </w14:textFill>
        </w:rPr>
      </w:pPr>
      <w:bookmarkStart w:id="19" w:name="_Toc10035514"/>
      <w:bookmarkStart w:id="20" w:name="_Toc514145518"/>
      <w:r>
        <w:rPr>
          <w:rFonts w:hint="eastAsia" w:hAnsi="宋体"/>
          <w:color w:val="000000" w:themeColor="text1"/>
          <w:sz w:val="24"/>
          <w:szCs w:val="24"/>
          <w14:textFill>
            <w14:solidFill>
              <w14:schemeClr w14:val="tx1"/>
            </w14:solidFill>
          </w14:textFill>
        </w:rPr>
        <w:t>其他要求</w:t>
      </w:r>
      <w:bookmarkEnd w:id="19"/>
      <w:bookmarkEnd w:id="20"/>
    </w:p>
    <w:p>
      <w:pPr>
        <w:pStyle w:val="4"/>
        <w:numPr>
          <w:ilvl w:val="0"/>
          <w:numId w:val="0"/>
        </w:numPr>
        <w:ind w:firstLine="482" w:firstLineChars="200"/>
        <w:rPr>
          <w:rFonts w:hint="default"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2.1投标人必须提供管材样板铝合金材料用料实物，如实物不符合文件标准参数规格则视为不合格！</w:t>
      </w:r>
    </w:p>
    <w:p>
      <w:pPr>
        <w:pStyle w:val="4"/>
        <w:numPr>
          <w:ilvl w:val="0"/>
          <w:numId w:val="0"/>
        </w:numPr>
        <w:tabs>
          <w:tab w:val="left" w:pos="1260"/>
        </w:tabs>
        <w:adjustRightInd w:val="0"/>
        <w:snapToGrid w:val="0"/>
        <w:spacing w:line="500" w:lineRule="exact"/>
        <w:ind w:firstLine="480" w:firstLineChars="200"/>
        <w:rPr>
          <w:rFonts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2.2</w:t>
      </w:r>
      <w:r>
        <w:rPr>
          <w:rFonts w:hint="eastAsia" w:ascii="宋体" w:hAnsi="宋体" w:cs="Courier New"/>
          <w:bCs/>
          <w:iCs/>
          <w:color w:val="000000" w:themeColor="text1"/>
          <w:sz w:val="24"/>
          <w:szCs w:val="21"/>
          <w14:textFill>
            <w14:solidFill>
              <w14:schemeClr w14:val="tx1"/>
            </w14:solidFill>
          </w14:textFill>
        </w:rPr>
        <w:t>投标人</w:t>
      </w:r>
      <w:r>
        <w:rPr>
          <w:rFonts w:ascii="宋体" w:hAnsi="宋体" w:cs="Courier New"/>
          <w:bCs/>
          <w:iCs/>
          <w:color w:val="000000" w:themeColor="text1"/>
          <w:sz w:val="24"/>
          <w:szCs w:val="21"/>
          <w14:textFill>
            <w14:solidFill>
              <w14:schemeClr w14:val="tx1"/>
            </w14:solidFill>
          </w14:textFill>
        </w:rPr>
        <w:t>所提供的货物必须是自身合法生产的或通过正当合法来源获得的全新的产品，并对之具有完全所有权；</w:t>
      </w:r>
    </w:p>
    <w:p>
      <w:pPr>
        <w:pStyle w:val="4"/>
        <w:numPr>
          <w:ilvl w:val="0"/>
          <w:numId w:val="0"/>
        </w:numPr>
        <w:tabs>
          <w:tab w:val="left" w:pos="1260"/>
        </w:tabs>
        <w:adjustRightInd w:val="0"/>
        <w:snapToGrid w:val="0"/>
        <w:spacing w:line="500" w:lineRule="exact"/>
        <w:ind w:firstLine="480" w:firstLineChars="200"/>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2.3</w:t>
      </w:r>
      <w:r>
        <w:rPr>
          <w:rFonts w:hint="eastAsia" w:ascii="宋体" w:hAnsi="宋体" w:cs="Courier New"/>
          <w:bCs/>
          <w:iCs/>
          <w:color w:val="000000" w:themeColor="text1"/>
          <w:sz w:val="24"/>
          <w:szCs w:val="21"/>
          <w14:textFill>
            <w14:solidFill>
              <w14:schemeClr w14:val="tx1"/>
            </w14:solidFill>
          </w14:textFill>
        </w:rPr>
        <w:t>投标人应担保提供的货物上（包括设计及相关技术）不存在订立合同时不为采购方所知</w:t>
      </w:r>
      <w:r>
        <w:rPr>
          <w:rFonts w:ascii="宋体" w:hAnsi="宋体" w:cs="Courier New"/>
          <w:bCs/>
          <w:iCs/>
          <w:color w:val="000000" w:themeColor="text1"/>
          <w:sz w:val="24"/>
          <w:szCs w:val="21"/>
          <w14:textFill>
            <w14:solidFill>
              <w14:schemeClr w14:val="tx1"/>
            </w14:solidFill>
          </w14:textFill>
        </w:rPr>
        <w:t>任何第三方</w:t>
      </w:r>
      <w:r>
        <w:rPr>
          <w:rFonts w:hint="eastAsia" w:ascii="宋体" w:hAnsi="宋体" w:cs="Courier New"/>
          <w:bCs/>
          <w:iCs/>
          <w:color w:val="000000" w:themeColor="text1"/>
          <w:sz w:val="24"/>
          <w:szCs w:val="21"/>
          <w14:textFill>
            <w14:solidFill>
              <w14:schemeClr w14:val="tx1"/>
            </w14:solidFill>
          </w14:textFill>
        </w:rPr>
        <w:t>的权利，如抵押权、留置权等；</w:t>
      </w:r>
    </w:p>
    <w:p>
      <w:pPr>
        <w:pStyle w:val="4"/>
        <w:numPr>
          <w:ilvl w:val="0"/>
          <w:numId w:val="0"/>
        </w:numPr>
        <w:tabs>
          <w:tab w:val="left" w:pos="1260"/>
        </w:tabs>
        <w:adjustRightInd w:val="0"/>
        <w:snapToGrid w:val="0"/>
        <w:spacing w:line="500" w:lineRule="exact"/>
        <w:ind w:firstLine="480" w:firstLineChars="200"/>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2.4</w:t>
      </w:r>
      <w:r>
        <w:rPr>
          <w:rFonts w:hint="eastAsia" w:ascii="宋体" w:hAnsi="宋体" w:cs="Courier New"/>
          <w:bCs/>
          <w:iCs/>
          <w:color w:val="000000" w:themeColor="text1"/>
          <w:sz w:val="24"/>
          <w:szCs w:val="21"/>
          <w14:textFill>
            <w14:solidFill>
              <w14:schemeClr w14:val="tx1"/>
            </w14:solidFill>
          </w14:textFill>
        </w:rPr>
        <w:t>本技术与规格要求未详尽处，中标供应商应执行国家有关技术规范和标准；</w:t>
      </w:r>
    </w:p>
    <w:p>
      <w:pPr>
        <w:pStyle w:val="4"/>
        <w:numPr>
          <w:ilvl w:val="0"/>
          <w:numId w:val="0"/>
        </w:numPr>
        <w:tabs>
          <w:tab w:val="left" w:pos="1260"/>
        </w:tabs>
        <w:adjustRightInd w:val="0"/>
        <w:snapToGrid w:val="0"/>
        <w:spacing w:line="500" w:lineRule="exact"/>
        <w:ind w:firstLine="480" w:firstLineChars="200"/>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2.5</w:t>
      </w:r>
      <w:r>
        <w:rPr>
          <w:rFonts w:hint="eastAsia" w:ascii="宋体" w:hAnsi="宋体" w:cs="Courier New"/>
          <w:bCs/>
          <w:iCs/>
          <w:color w:val="000000" w:themeColor="text1"/>
          <w:sz w:val="24"/>
          <w:szCs w:val="21"/>
          <w14:textFill>
            <w14:solidFill>
              <w14:schemeClr w14:val="tx1"/>
            </w14:solidFill>
          </w14:textFill>
        </w:rPr>
        <w:t>采购文件所提供的技术资料投标供应商须响应，投标人可以在此基础上提供更优更好的产品及技术，但所提供货物的结构、外形及技术等均不得侵权，否则由此产生的责任均由投标人承担；</w:t>
      </w:r>
    </w:p>
    <w:p>
      <w:pPr>
        <w:pStyle w:val="4"/>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2.6</w:t>
      </w:r>
      <w:r>
        <w:rPr>
          <w:rFonts w:hint="eastAsia" w:ascii="宋体" w:hAnsi="宋体" w:cs="Courier New"/>
          <w:bCs/>
          <w:iCs/>
          <w:color w:val="000000" w:themeColor="text1"/>
          <w:sz w:val="24"/>
          <w:szCs w:val="21"/>
          <w14:textFill>
            <w14:solidFill>
              <w14:schemeClr w14:val="tx1"/>
            </w14:solidFill>
          </w14:textFill>
        </w:rPr>
        <w:t>投标人所提供的货物技术规格、安装标准及技术规范等必须符合国家和行业规定标准、规范要求。</w:t>
      </w:r>
    </w:p>
    <w:p>
      <w:pPr>
        <w:pStyle w:val="4"/>
        <w:pageBreakBefore w:val="0"/>
        <w:widowControl w:val="0"/>
        <w:numPr>
          <w:ilvl w:val="0"/>
          <w:numId w:val="7"/>
        </w:numPr>
        <w:tabs>
          <w:tab w:val="left" w:pos="1260"/>
        </w:tabs>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eastAsia="宋体" w:cs="Times New Roman"/>
          <w:b/>
          <w:color w:val="000000" w:themeColor="text1"/>
          <w:kern w:val="2"/>
          <w:sz w:val="30"/>
          <w:szCs w:val="30"/>
          <w:lang w:val="en-US" w:eastAsia="zh-CN" w:bidi="ar-SA"/>
          <w14:textFill>
            <w14:solidFill>
              <w14:schemeClr w14:val="tx1"/>
            </w14:solidFill>
          </w14:textFill>
        </w:rPr>
      </w:pPr>
      <w:r>
        <w:rPr>
          <w:rFonts w:hint="eastAsia" w:ascii="宋体" w:hAnsi="宋体" w:eastAsia="宋体" w:cs="Times New Roman"/>
          <w:b/>
          <w:color w:val="000000" w:themeColor="text1"/>
          <w:kern w:val="2"/>
          <w:sz w:val="30"/>
          <w:szCs w:val="30"/>
          <w:lang w:val="en-US" w:eastAsia="zh-CN" w:bidi="ar-SA"/>
          <w14:textFill>
            <w14:solidFill>
              <w14:schemeClr w14:val="tx1"/>
            </w14:solidFill>
          </w14:textFill>
        </w:rPr>
        <w:t>商务要求</w:t>
      </w:r>
      <w:bookmarkStart w:id="21" w:name="_Toc10035505"/>
      <w:bookmarkStart w:id="22" w:name="_Toc432062418"/>
    </w:p>
    <w:p>
      <w:pPr>
        <w:pStyle w:val="4"/>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一</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投标人的工作范围</w:t>
      </w:r>
      <w:bookmarkEnd w:id="21"/>
      <w:bookmarkEnd w:id="22"/>
    </w:p>
    <w:p>
      <w:pPr>
        <w:pageBreakBefore w:val="0"/>
        <w:widowControl w:val="0"/>
        <w:numPr>
          <w:ilvl w:val="0"/>
          <w:numId w:val="0"/>
        </w:numPr>
        <w:tabs>
          <w:tab w:val="left" w:pos="7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bookmarkStart w:id="23" w:name="_Toc48614311"/>
      <w:bookmarkStart w:id="24" w:name="_Toc57451645"/>
      <w:bookmarkStart w:id="25" w:name="_Toc492349733"/>
      <w:bookmarkStart w:id="26" w:name="_Toc492357127"/>
      <w:bookmarkStart w:id="27" w:name="_Toc492349911"/>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投标人必须能提供《</w:t>
      </w:r>
      <w:r>
        <w:rPr>
          <w:rFonts w:hint="eastAsia" w:ascii="宋体" w:hAnsi="宋体"/>
          <w:bCs/>
          <w:color w:val="000000" w:themeColor="text1"/>
          <w:spacing w:val="4"/>
          <w:sz w:val="24"/>
          <w:szCs w:val="24"/>
          <w:lang w:eastAsia="zh-CN"/>
          <w14:textFill>
            <w14:solidFill>
              <w14:schemeClr w14:val="tx1"/>
            </w14:solidFill>
          </w14:textFill>
        </w:rPr>
        <w:t>湄洲湾职业技术学院新校区</w:t>
      </w:r>
      <w:r>
        <w:rPr>
          <w:rFonts w:hint="eastAsia" w:ascii="宋体" w:hAnsi="宋体"/>
          <w:color w:val="000000" w:themeColor="text1"/>
          <w:sz w:val="24"/>
          <w:lang w:eastAsia="zh-CN"/>
          <w14:textFill>
            <w14:solidFill>
              <w14:schemeClr w14:val="tx1"/>
            </w14:solidFill>
          </w14:textFill>
        </w:rPr>
        <w:t>智能平移门</w:t>
      </w:r>
      <w:r>
        <w:rPr>
          <w:rFonts w:hint="eastAsia" w:ascii="宋体" w:hAnsi="宋体"/>
          <w:color w:val="000000" w:themeColor="text1"/>
          <w:sz w:val="24"/>
          <w14:textFill>
            <w14:solidFill>
              <w14:schemeClr w14:val="tx1"/>
            </w14:solidFill>
          </w14:textFill>
        </w:rPr>
        <w:t>采购及安装项目采购一览表》</w:t>
      </w:r>
      <w:bookmarkEnd w:id="23"/>
      <w:bookmarkEnd w:id="24"/>
      <w:bookmarkEnd w:id="25"/>
      <w:bookmarkEnd w:id="26"/>
      <w:bookmarkEnd w:id="27"/>
    </w:p>
    <w:p>
      <w:pPr>
        <w:pageBreakBefore w:val="0"/>
        <w:widowControl w:val="0"/>
        <w:numPr>
          <w:ilvl w:val="0"/>
          <w:numId w:val="0"/>
        </w:numPr>
        <w:tabs>
          <w:tab w:val="left" w:pos="720"/>
        </w:tabs>
        <w:kinsoku/>
        <w:wordWrap/>
        <w:overflowPunct/>
        <w:topLinePunct w:val="0"/>
        <w:autoSpaceDE/>
        <w:autoSpaceDN/>
        <w:bidi w:val="0"/>
        <w:spacing w:line="46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中所述全部货物、配件、材料。</w:t>
      </w:r>
    </w:p>
    <w:p>
      <w:pPr>
        <w:pageBreakBefore w:val="0"/>
        <w:widowControl w:val="0"/>
        <w:numPr>
          <w:ilvl w:val="0"/>
          <w:numId w:val="0"/>
        </w:numPr>
        <w:tabs>
          <w:tab w:val="left" w:pos="7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bookmarkStart w:id="28" w:name="_Toc492357141"/>
      <w:bookmarkStart w:id="29" w:name="_Toc492349925"/>
      <w:bookmarkStart w:id="30" w:name="_Toc492349747"/>
      <w:bookmarkStart w:id="31" w:name="_Toc48614325"/>
      <w:bookmarkStart w:id="32" w:name="_Toc57451659"/>
      <w:bookmarkStart w:id="33" w:name="_Toc57451648"/>
      <w:bookmarkStart w:id="34" w:name="_Toc492357130"/>
      <w:bookmarkStart w:id="35" w:name="_Toc492349736"/>
      <w:bookmarkStart w:id="36" w:name="_Toc492349914"/>
      <w:bookmarkStart w:id="37" w:name="_Toc48614314"/>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服务</w:t>
      </w:r>
      <w:bookmarkEnd w:id="28"/>
      <w:bookmarkEnd w:id="29"/>
      <w:bookmarkEnd w:id="30"/>
      <w:bookmarkEnd w:id="31"/>
      <w:bookmarkEnd w:id="32"/>
    </w:p>
    <w:p>
      <w:pPr>
        <w:pageBreakBefore w:val="0"/>
        <w:widowControl w:val="0"/>
        <w:numPr>
          <w:ilvl w:val="0"/>
          <w:numId w:val="0"/>
        </w:numPr>
        <w:tabs>
          <w:tab w:val="left" w:pos="108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bookmarkStart w:id="38" w:name="_Toc492349912"/>
      <w:bookmarkStart w:id="39" w:name="_Toc48614312"/>
      <w:bookmarkStart w:id="40" w:name="_Toc492357128"/>
      <w:bookmarkStart w:id="41" w:name="_Toc492349734"/>
      <w:bookmarkStart w:id="42" w:name="_Toc57451646"/>
      <w:r>
        <w:rPr>
          <w:rFonts w:hint="eastAsia" w:ascii="宋体" w:hAnsi="宋体"/>
          <w:color w:val="000000" w:themeColor="text1"/>
          <w:sz w:val="24"/>
          <w:lang w:val="en-US" w:eastAsia="zh-CN"/>
          <w14:textFill>
            <w14:solidFill>
              <w14:schemeClr w14:val="tx1"/>
            </w14:solidFill>
          </w14:textFill>
        </w:rPr>
        <w:t>1.2.1</w:t>
      </w:r>
      <w:r>
        <w:rPr>
          <w:rFonts w:hint="eastAsia" w:ascii="宋体" w:hAnsi="宋体"/>
          <w:color w:val="000000" w:themeColor="text1"/>
          <w:sz w:val="24"/>
          <w14:textFill>
            <w14:solidFill>
              <w14:schemeClr w14:val="tx1"/>
            </w14:solidFill>
          </w14:textFill>
        </w:rPr>
        <w:t>投标人拟提供货物须为全新未使用的检验合格的产品。货物及其辅助装置的铭牌、使用指示、警告指示应以中文或英文及易懂的通用符号来表示，应能够准确无误地表示货物的型号、规格、制造商等内容。</w:t>
      </w:r>
      <w:bookmarkEnd w:id="38"/>
      <w:bookmarkEnd w:id="39"/>
      <w:bookmarkEnd w:id="40"/>
      <w:bookmarkEnd w:id="41"/>
      <w:bookmarkEnd w:id="42"/>
    </w:p>
    <w:p>
      <w:pPr>
        <w:pageBreakBefore w:val="0"/>
        <w:widowControl w:val="0"/>
        <w:numPr>
          <w:ilvl w:val="0"/>
          <w:numId w:val="0"/>
        </w:numPr>
        <w:tabs>
          <w:tab w:val="left" w:pos="1080"/>
        </w:tabs>
        <w:kinsoku/>
        <w:wordWrap/>
        <w:overflowPunct/>
        <w:topLinePunct w:val="0"/>
        <w:autoSpaceDE/>
        <w:autoSpaceDN/>
        <w:bidi w:val="0"/>
        <w:spacing w:line="460" w:lineRule="exact"/>
        <w:ind w:left="540" w:leftChars="0"/>
        <w:jc w:val="left"/>
        <w:textAlignment w:val="auto"/>
        <w:rPr>
          <w:rFonts w:hint="eastAsia" w:ascii="宋体" w:hAnsi="宋体"/>
          <w:color w:val="000000" w:themeColor="text1"/>
          <w:sz w:val="24"/>
          <w14:textFill>
            <w14:solidFill>
              <w14:schemeClr w14:val="tx1"/>
            </w14:solidFill>
          </w14:textFill>
        </w:rPr>
      </w:pPr>
      <w:bookmarkStart w:id="43" w:name="_Toc492357129"/>
      <w:bookmarkStart w:id="44" w:name="_Toc492349913"/>
      <w:bookmarkStart w:id="45" w:name="_Toc492349735"/>
      <w:bookmarkStart w:id="46" w:name="_Toc57451647"/>
      <w:bookmarkStart w:id="47" w:name="_Toc48614313"/>
      <w:r>
        <w:rPr>
          <w:rFonts w:hint="eastAsia" w:ascii="宋体" w:hAnsi="宋体"/>
          <w:color w:val="000000" w:themeColor="text1"/>
          <w:sz w:val="24"/>
          <w:lang w:val="en-US" w:eastAsia="zh-CN"/>
          <w14:textFill>
            <w14:solidFill>
              <w14:schemeClr w14:val="tx1"/>
            </w14:solidFill>
          </w14:textFill>
        </w:rPr>
        <w:t>1.22</w:t>
      </w:r>
      <w:r>
        <w:rPr>
          <w:rFonts w:hint="eastAsia" w:ascii="宋体" w:hAnsi="宋体"/>
          <w:color w:val="000000" w:themeColor="text1"/>
          <w:sz w:val="24"/>
          <w14:textFill>
            <w14:solidFill>
              <w14:schemeClr w14:val="tx1"/>
            </w14:solidFill>
          </w14:textFill>
        </w:rPr>
        <w:t>要求投标人提供的其它伴随服务（或义务）</w:t>
      </w:r>
      <w:bookmarkEnd w:id="43"/>
      <w:bookmarkEnd w:id="44"/>
      <w:bookmarkEnd w:id="45"/>
      <w:bookmarkEnd w:id="46"/>
      <w:bookmarkEnd w:id="47"/>
      <w:r>
        <w:rPr>
          <w:rFonts w:hint="eastAsia" w:ascii="宋体" w:hAnsi="宋体"/>
          <w:color w:val="000000" w:themeColor="text1"/>
          <w:sz w:val="24"/>
          <w14:textFill>
            <w14:solidFill>
              <w14:schemeClr w14:val="tx1"/>
            </w14:solidFill>
          </w14:textFill>
        </w:rPr>
        <w:t>。</w:t>
      </w:r>
    </w:p>
    <w:p>
      <w:pPr>
        <w:pageBreakBefore w:val="0"/>
        <w:widowControl w:val="0"/>
        <w:numPr>
          <w:ilvl w:val="0"/>
          <w:numId w:val="0"/>
        </w:numPr>
        <w:tabs>
          <w:tab w:val="left" w:pos="1080"/>
        </w:tabs>
        <w:kinsoku/>
        <w:wordWrap/>
        <w:overflowPunct/>
        <w:topLinePunct w:val="0"/>
        <w:autoSpaceDE/>
        <w:autoSpaceDN/>
        <w:bidi w:val="0"/>
        <w:spacing w:line="460" w:lineRule="exact"/>
        <w:ind w:left="540" w:lef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w:t>
      </w:r>
      <w:r>
        <w:rPr>
          <w:rFonts w:hint="eastAsia" w:ascii="宋体" w:hAnsi="宋体"/>
          <w:color w:val="000000" w:themeColor="text1"/>
          <w:sz w:val="24"/>
          <w14:textFill>
            <w14:solidFill>
              <w14:schemeClr w14:val="tx1"/>
            </w14:solidFill>
          </w14:textFill>
        </w:rPr>
        <w:t>供货</w:t>
      </w:r>
      <w:bookmarkEnd w:id="33"/>
      <w:bookmarkEnd w:id="34"/>
      <w:bookmarkEnd w:id="35"/>
      <w:bookmarkEnd w:id="36"/>
      <w:bookmarkEnd w:id="37"/>
    </w:p>
    <w:p>
      <w:pPr>
        <w:pageBreakBefore w:val="0"/>
        <w:widowControl w:val="0"/>
        <w:numPr>
          <w:ilvl w:val="0"/>
          <w:numId w:val="0"/>
        </w:numPr>
        <w:tabs>
          <w:tab w:val="left" w:pos="108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bookmarkStart w:id="48" w:name="_Toc492349915"/>
      <w:bookmarkStart w:id="49" w:name="_Toc48614315"/>
      <w:bookmarkStart w:id="50" w:name="_Toc57451649"/>
      <w:bookmarkStart w:id="51" w:name="_Toc492349737"/>
      <w:bookmarkStart w:id="52" w:name="_Toc492357131"/>
      <w:r>
        <w:rPr>
          <w:rFonts w:hint="eastAsia" w:ascii="宋体" w:hAnsi="宋体"/>
          <w:color w:val="000000" w:themeColor="text1"/>
          <w:sz w:val="24"/>
          <w:lang w:val="en-US" w:eastAsia="zh-CN"/>
          <w14:textFill>
            <w14:solidFill>
              <w14:schemeClr w14:val="tx1"/>
            </w14:solidFill>
          </w14:textFill>
        </w:rPr>
        <w:t>1.3.1</w:t>
      </w:r>
      <w:r>
        <w:rPr>
          <w:rFonts w:hint="eastAsia" w:ascii="宋体" w:hAnsi="宋体"/>
          <w:color w:val="000000" w:themeColor="text1"/>
          <w:sz w:val="24"/>
          <w14:textFill>
            <w14:solidFill>
              <w14:schemeClr w14:val="tx1"/>
            </w14:solidFill>
          </w14:textFill>
        </w:rPr>
        <w:t>投标人必须能按照合同的规定，准时提供货物、配件、材料及工具，并负责所供货物、配件、材料及工具的包装及运输</w:t>
      </w:r>
      <w:bookmarkEnd w:id="48"/>
      <w:bookmarkEnd w:id="49"/>
      <w:bookmarkEnd w:id="50"/>
      <w:bookmarkEnd w:id="51"/>
      <w:bookmarkEnd w:id="52"/>
      <w:r>
        <w:rPr>
          <w:rFonts w:hint="eastAsia" w:ascii="宋体" w:hAnsi="宋体"/>
          <w:color w:val="000000" w:themeColor="text1"/>
          <w:sz w:val="24"/>
          <w14:textFill>
            <w14:solidFill>
              <w14:schemeClr w14:val="tx1"/>
            </w14:solidFill>
          </w14:textFill>
        </w:rPr>
        <w:t>。</w:t>
      </w:r>
    </w:p>
    <w:p>
      <w:pPr>
        <w:pageBreakBefore w:val="0"/>
        <w:widowControl w:val="0"/>
        <w:numPr>
          <w:ilvl w:val="0"/>
          <w:numId w:val="0"/>
        </w:numPr>
        <w:tabs>
          <w:tab w:val="left" w:pos="108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1.3.2</w:t>
      </w:r>
      <w:r>
        <w:rPr>
          <w:rFonts w:hint="eastAsia" w:ascii="宋体" w:hAnsi="宋体"/>
          <w:color w:val="000000" w:themeColor="text1"/>
          <w:sz w:val="24"/>
          <w14:textFill>
            <w14:solidFill>
              <w14:schemeClr w14:val="tx1"/>
            </w14:solidFill>
          </w14:textFill>
        </w:rPr>
        <w:t>投标人提供的货物必须是未经拆封、原厂正规合格、品质优良的产品，技术资料齐全，不允许采用挂靠厂或贴牌产品。所提供的货物技术规格、安装标准及技术规范等必须符合国家和行业规定标准、规范要求。</w:t>
      </w:r>
    </w:p>
    <w:p>
      <w:pPr>
        <w:pageBreakBefore w:val="0"/>
        <w:widowControl w:val="0"/>
        <w:numPr>
          <w:ilvl w:val="0"/>
          <w:numId w:val="0"/>
        </w:numPr>
        <w:tabs>
          <w:tab w:val="left" w:pos="108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1.3.3</w:t>
      </w:r>
      <w:r>
        <w:rPr>
          <w:rFonts w:hint="eastAsia" w:ascii="宋体" w:hAnsi="宋体"/>
          <w:color w:val="000000" w:themeColor="text1"/>
          <w:sz w:val="24"/>
          <w14:textFill>
            <w14:solidFill>
              <w14:schemeClr w14:val="tx1"/>
            </w14:solidFill>
          </w14:textFill>
        </w:rPr>
        <w:t>投标人应保证采购单位在使用该货物、服务或其任何一部分时免受第三方提出侵犯其专利权、商标权或其他知识产权的起诉。否则，由此引起的法律诉讼、裁决、费用和延误均与采购单位无关，由各投标单位承担一切法律责任和经济责任。</w:t>
      </w:r>
    </w:p>
    <w:p>
      <w:pPr>
        <w:pageBreakBefore w:val="0"/>
        <w:widowControl w:val="0"/>
        <w:numPr>
          <w:ilvl w:val="0"/>
          <w:numId w:val="0"/>
        </w:numPr>
        <w:tabs>
          <w:tab w:val="left" w:pos="108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1.3.4</w:t>
      </w:r>
      <w:r>
        <w:rPr>
          <w:rFonts w:hint="eastAsia" w:ascii="宋体" w:hAnsi="宋体"/>
          <w:color w:val="000000" w:themeColor="text1"/>
          <w:sz w:val="24"/>
          <w14:textFill>
            <w14:solidFill>
              <w14:schemeClr w14:val="tx1"/>
            </w14:solidFill>
          </w14:textFill>
        </w:rPr>
        <w:t>投标人应保证所提供的设备经过正确安装、正常运转和保养，在国家标准规定的有效使用期限内应具有良好的性能。投标人应对于设计、工艺或材料的缺陷而发生的任何不足或故障负责。</w:t>
      </w:r>
    </w:p>
    <w:p>
      <w:pPr>
        <w:pageBreakBefore w:val="0"/>
        <w:widowControl w:val="0"/>
        <w:numPr>
          <w:ilvl w:val="0"/>
          <w:numId w:val="0"/>
        </w:numPr>
        <w:tabs>
          <w:tab w:val="left" w:pos="7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安装和调试</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1.4.1</w:t>
      </w:r>
      <w:r>
        <w:rPr>
          <w:rFonts w:hint="eastAsia" w:ascii="宋体" w:hAnsi="宋体"/>
          <w:color w:val="000000" w:themeColor="text1"/>
          <w:sz w:val="24"/>
          <w14:textFill>
            <w14:solidFill>
              <w14:schemeClr w14:val="tx1"/>
            </w14:solidFill>
          </w14:textFill>
        </w:rPr>
        <w:t>中标供应商应负责将货物检验合格后，按要求将货物送至指定地点，提供货物的免费安装，安装调试费及设备运输费均由中标供应商承担。</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1.4.2</w:t>
      </w:r>
      <w:r>
        <w:rPr>
          <w:rFonts w:hint="eastAsia" w:ascii="宋体" w:hAnsi="宋体"/>
          <w:color w:val="000000" w:themeColor="text1"/>
          <w:sz w:val="24"/>
          <w14:textFill>
            <w14:solidFill>
              <w14:schemeClr w14:val="tx1"/>
            </w14:solidFill>
          </w14:textFill>
        </w:rPr>
        <w:t>中标供应商负责组织专业技术人员进行安装调试，中标供应商在安装调试过程中，必须贯彻执行国家有关安全生产的法律法规，必须制定相应的安全管理制度；严格执行有关的安全生产规程和采购单位行业有关安全生产规定、制度。因中标供应商原因发生的一切安全责任事故及造成第三者伤害责任的，均由中标供应商承担相应责任。</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1.4.3</w:t>
      </w:r>
      <w:r>
        <w:rPr>
          <w:rFonts w:hint="eastAsia" w:ascii="宋体" w:hAnsi="宋体"/>
          <w:color w:val="000000" w:themeColor="text1"/>
          <w:sz w:val="24"/>
          <w14:textFill>
            <w14:solidFill>
              <w14:schemeClr w14:val="tx1"/>
            </w14:solidFill>
          </w14:textFill>
        </w:rPr>
        <w:t>现场施工应遵守国家和地方关于劳动安全，劳务用工法律法规及规章制度，保证其用工的合法性。中标供应商必须按国家有关规定，为施工人员进行人身保险，配备合格的劳动防护用品、安全用具。</w:t>
      </w:r>
    </w:p>
    <w:p>
      <w:pPr>
        <w:pageBreakBefore w:val="0"/>
        <w:widowControl w:val="0"/>
        <w:numPr>
          <w:ilvl w:val="0"/>
          <w:numId w:val="0"/>
        </w:numPr>
        <w:tabs>
          <w:tab w:val="left" w:pos="126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1.4.4</w:t>
      </w:r>
      <w:r>
        <w:rPr>
          <w:rFonts w:hint="eastAsia" w:ascii="宋体" w:hAnsi="宋体"/>
          <w:color w:val="000000" w:themeColor="text1"/>
          <w:sz w:val="24"/>
          <w14:textFill>
            <w14:solidFill>
              <w14:schemeClr w14:val="tx1"/>
            </w14:solidFill>
          </w14:textFill>
        </w:rPr>
        <w:t>安装过程中，中标人需保证采购单位日常生产工作能正常进行，如中标人安装活动影响到采购人日常生产工作，因而给采购单位造成损失，中标人应承担相应责任并负责赔偿。</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1.4.5</w:t>
      </w:r>
      <w:r>
        <w:rPr>
          <w:rFonts w:hint="eastAsia" w:ascii="宋体" w:hAnsi="宋体"/>
          <w:color w:val="000000" w:themeColor="text1"/>
          <w:sz w:val="24"/>
          <w14:textFill>
            <w14:solidFill>
              <w14:schemeClr w14:val="tx1"/>
            </w14:solidFill>
          </w14:textFill>
        </w:rPr>
        <w:t>安装调试到位后的货物由中标供应商及采购单位共同进行质量验收签字。</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1.4.6</w:t>
      </w:r>
      <w:r>
        <w:rPr>
          <w:rFonts w:hint="eastAsia" w:ascii="宋体" w:hAnsi="宋体"/>
          <w:color w:val="000000" w:themeColor="text1"/>
          <w:sz w:val="24"/>
          <w14:textFill>
            <w14:solidFill>
              <w14:schemeClr w14:val="tx1"/>
            </w14:solidFill>
          </w14:textFill>
        </w:rPr>
        <w:t>货物验收合格后，中标供应商应对采购单位的使用人员进行必要的使用操作指导后，交付采购单位使用。</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1.4.7</w:t>
      </w:r>
      <w:r>
        <w:rPr>
          <w:rFonts w:hint="eastAsia" w:ascii="宋体" w:hAnsi="宋体"/>
          <w:color w:val="000000" w:themeColor="text1"/>
          <w:sz w:val="24"/>
          <w14:textFill>
            <w14:solidFill>
              <w14:schemeClr w14:val="tx1"/>
            </w14:solidFill>
          </w14:textFill>
        </w:rPr>
        <w:t>中标供应商应按合同约定，提供全部项目设备，并进行安装和项目整体测试工作，并确保设备能够正常运行（整套设备及各功能子系统能够连续正常运行，其实际运行性能和测试性能指标应满足采购需求）。</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1.4.8</w:t>
      </w:r>
      <w:r>
        <w:rPr>
          <w:rFonts w:hint="eastAsia" w:ascii="宋体" w:hAnsi="宋体"/>
          <w:color w:val="000000" w:themeColor="text1"/>
          <w:sz w:val="24"/>
          <w14:textFill>
            <w14:solidFill>
              <w14:schemeClr w14:val="tx1"/>
            </w14:solidFill>
          </w14:textFill>
        </w:rPr>
        <w:t>货物初验前，中标供应商须提供完整的技术资料</w:t>
      </w:r>
      <w:r>
        <w:rPr>
          <w:rFonts w:ascii="宋体" w:hAnsi="宋体"/>
          <w:color w:val="000000" w:themeColor="text1"/>
          <w:sz w:val="24"/>
          <w14:textFill>
            <w14:solidFill>
              <w14:schemeClr w14:val="tx1"/>
            </w14:solidFill>
          </w14:textFill>
        </w:rPr>
        <w:t>(包括说明书、用户手册、出厂明细表或装箱单、制造厂质量合格证书及其他相关文件资料)。</w:t>
      </w:r>
      <w:r>
        <w:rPr>
          <w:rFonts w:hint="eastAsia" w:ascii="宋体" w:hAnsi="宋体"/>
          <w:color w:val="000000" w:themeColor="text1"/>
          <w:sz w:val="24"/>
          <w14:textFill>
            <w14:solidFill>
              <w14:schemeClr w14:val="tx1"/>
            </w14:solidFill>
          </w14:textFill>
        </w:rPr>
        <w:t>中标供应商向采购单位提供安装和维修所需的工具及清单和中文说明书，其费用包括在报价价格内。</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1.4.9</w:t>
      </w:r>
      <w:r>
        <w:rPr>
          <w:rFonts w:hint="eastAsia" w:ascii="宋体" w:hAnsi="宋体"/>
          <w:color w:val="000000" w:themeColor="text1"/>
          <w:sz w:val="24"/>
          <w14:textFill>
            <w14:solidFill>
              <w14:schemeClr w14:val="tx1"/>
            </w14:solidFill>
          </w14:textFill>
        </w:rPr>
        <w:t>中标供应商在采购单位安装现场进行验收所发生的一切费用均由中标供应商承担</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计</w:t>
      </w:r>
      <w:r>
        <w:rPr>
          <w:rFonts w:ascii="宋体" w:hAnsi="宋体"/>
          <w:color w:val="000000" w:themeColor="text1"/>
          <w:sz w:val="24"/>
          <w14:textFill>
            <w14:solidFill>
              <w14:schemeClr w14:val="tx1"/>
            </w14:solidFill>
          </w14:textFill>
        </w:rPr>
        <w:t>入报价内)</w:t>
      </w:r>
      <w:r>
        <w:rPr>
          <w:rFonts w:hint="eastAsia" w:ascii="宋体" w:hAnsi="宋体"/>
          <w:color w:val="000000" w:themeColor="text1"/>
          <w:sz w:val="24"/>
          <w14:textFill>
            <w14:solidFill>
              <w14:schemeClr w14:val="tx1"/>
            </w14:solidFill>
          </w14:textFill>
        </w:rPr>
        <w:t>。</w:t>
      </w:r>
    </w:p>
    <w:p>
      <w:pPr>
        <w:pageBreakBefore w:val="0"/>
        <w:widowControl w:val="0"/>
        <w:numPr>
          <w:ilvl w:val="0"/>
          <w:numId w:val="0"/>
        </w:numPr>
        <w:tabs>
          <w:tab w:val="left" w:pos="720"/>
        </w:tabs>
        <w:kinsoku/>
        <w:wordWrap/>
        <w:overflowPunct/>
        <w:topLinePunct w:val="0"/>
        <w:autoSpaceDE/>
        <w:autoSpaceDN/>
        <w:bidi w:val="0"/>
        <w:spacing w:line="460" w:lineRule="exact"/>
        <w:ind w:left="180" w:leftChars="0" w:firstLine="240" w:firstLineChars="1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14:textFill>
            <w14:solidFill>
              <w14:schemeClr w14:val="tx1"/>
            </w14:solidFill>
          </w14:textFill>
        </w:rPr>
        <w:t>培训</w:t>
      </w:r>
    </w:p>
    <w:p>
      <w:pPr>
        <w:pStyle w:val="17"/>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outlineLvl w:val="9"/>
        <w:rPr>
          <w:rFonts w:hint="eastAsia" w:ascii="宋体" w:hAnsi="宋体"/>
          <w:color w:val="000000" w:themeColor="text1"/>
          <w:sz w:val="24"/>
          <w:szCs w:val="24"/>
          <w14:textFill>
            <w14:solidFill>
              <w14:schemeClr w14:val="tx1"/>
            </w14:solidFill>
          </w14:textFill>
        </w:rPr>
      </w:pPr>
      <w:bookmarkStart w:id="53" w:name="_Toc10035506"/>
      <w:bookmarkStart w:id="54" w:name="_Toc496612152"/>
      <w:bookmarkStart w:id="55" w:name="_Toc511749886"/>
      <w:bookmarkStart w:id="56" w:name="_Toc514145510"/>
      <w:r>
        <w:rPr>
          <w:rFonts w:hint="eastAsia" w:ascii="宋体" w:hAnsi="宋体"/>
          <w:color w:val="000000" w:themeColor="text1"/>
          <w:sz w:val="24"/>
          <w:szCs w:val="24"/>
          <w14:textFill>
            <w14:solidFill>
              <w14:schemeClr w14:val="tx1"/>
            </w14:solidFill>
          </w14:textFill>
        </w:rPr>
        <w:t>中标供应商应有计划地对采购单位的管理、维保人员进行本次采购货物的基本知识、使用、维护保养技术的现场培训（包括厂方针对性的培训），以保证货物的良好运行状态。</w:t>
      </w:r>
      <w:bookmarkEnd w:id="53"/>
      <w:bookmarkEnd w:id="54"/>
      <w:bookmarkEnd w:id="55"/>
      <w:bookmarkEnd w:id="56"/>
    </w:p>
    <w:p>
      <w:pPr>
        <w:pageBreakBefore w:val="0"/>
        <w:widowControl w:val="0"/>
        <w:numPr>
          <w:ilvl w:val="0"/>
          <w:numId w:val="0"/>
        </w:numPr>
        <w:tabs>
          <w:tab w:val="left" w:pos="7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1.6</w:t>
      </w:r>
      <w:r>
        <w:rPr>
          <w:rFonts w:hint="eastAsia" w:ascii="宋体" w:hAnsi="宋体"/>
          <w:color w:val="000000" w:themeColor="text1"/>
          <w:sz w:val="24"/>
          <w14:textFill>
            <w14:solidFill>
              <w14:schemeClr w14:val="tx1"/>
            </w14:solidFill>
          </w14:textFill>
        </w:rPr>
        <w:t>验收</w:t>
      </w:r>
    </w:p>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bookmarkStart w:id="57" w:name="_Toc57451651"/>
      <w:bookmarkStart w:id="58" w:name="_Toc492357133"/>
      <w:bookmarkStart w:id="59" w:name="_Toc492349739"/>
      <w:bookmarkStart w:id="60" w:name="_Toc48614317"/>
      <w:bookmarkStart w:id="61" w:name="_Toc492349917"/>
      <w:r>
        <w:rPr>
          <w:rFonts w:hint="eastAsia" w:ascii="宋体" w:hAnsi="宋体"/>
          <w:color w:val="000000" w:themeColor="text1"/>
          <w:sz w:val="24"/>
          <w:lang w:val="en-US" w:eastAsia="zh-CN"/>
          <w14:textFill>
            <w14:solidFill>
              <w14:schemeClr w14:val="tx1"/>
            </w14:solidFill>
          </w14:textFill>
        </w:rPr>
        <w:t>1.6.1</w:t>
      </w:r>
      <w:r>
        <w:rPr>
          <w:rFonts w:hint="eastAsia" w:ascii="宋体" w:hAnsi="宋体"/>
          <w:color w:val="000000" w:themeColor="text1"/>
          <w:sz w:val="24"/>
          <w14:textFill>
            <w14:solidFill>
              <w14:schemeClr w14:val="tx1"/>
            </w14:solidFill>
          </w14:textFill>
        </w:rPr>
        <w:t>验收标准：生产厂家的产品说明书、合格证书及技术资料（由中标供应商提供）等；国家及行业规范；当地监督管理部门要求的安全规范；合同及采购文件的约定；投标文件的承诺，均作为验收标准。</w:t>
      </w:r>
    </w:p>
    <w:bookmarkEnd w:id="57"/>
    <w:bookmarkEnd w:id="58"/>
    <w:bookmarkEnd w:id="59"/>
    <w:bookmarkEnd w:id="60"/>
    <w:bookmarkEnd w:id="61"/>
    <w:p>
      <w:pPr>
        <w:pageBreakBefore w:val="0"/>
        <w:widowControl w:val="0"/>
        <w:numPr>
          <w:ilvl w:val="0"/>
          <w:numId w:val="0"/>
        </w:numPr>
        <w:tabs>
          <w:tab w:val="left" w:pos="1260"/>
          <w:tab w:val="left" w:pos="16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1.6.2</w:t>
      </w:r>
      <w:r>
        <w:rPr>
          <w:rFonts w:hint="eastAsia" w:ascii="宋体" w:hAnsi="宋体"/>
          <w:color w:val="000000" w:themeColor="text1"/>
          <w:sz w:val="24"/>
          <w14:textFill>
            <w14:solidFill>
              <w14:schemeClr w14:val="tx1"/>
            </w14:solidFill>
          </w14:textFill>
        </w:rPr>
        <w:t>验收程序：</w:t>
      </w:r>
    </w:p>
    <w:p>
      <w:pPr>
        <w:pageBreakBefore w:val="0"/>
        <w:widowControl w:val="0"/>
        <w:kinsoku/>
        <w:wordWrap/>
        <w:overflowPunct/>
        <w:topLinePunct w:val="0"/>
        <w:autoSpaceDE/>
        <w:autoSpaceDN/>
        <w:bidi w:val="0"/>
        <w:adjustRightInd w:val="0"/>
        <w:snapToGrid w:val="0"/>
        <w:spacing w:line="460" w:lineRule="exact"/>
        <w:ind w:firstLine="420"/>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a.出厂检验:中标供应商在货物出厂前,应按产品技术标准规定的检验项目和试验方法进行全面检验,中标供应商应随同货物提供出厂检验报告、产品质量合格证。</w:t>
      </w:r>
    </w:p>
    <w:p>
      <w:pPr>
        <w:pageBreakBefore w:val="0"/>
        <w:widowControl w:val="0"/>
        <w:kinsoku/>
        <w:wordWrap/>
        <w:overflowPunct/>
        <w:topLinePunct w:val="0"/>
        <w:autoSpaceDE/>
        <w:autoSpaceDN/>
        <w:bidi w:val="0"/>
        <w:adjustRightInd w:val="0"/>
        <w:snapToGrid w:val="0"/>
        <w:spacing w:line="460" w:lineRule="exact"/>
        <w:ind w:firstLine="420"/>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b.货物运达采购单位安装现场后，由采购单位进行质量和数量的验收。</w:t>
      </w:r>
    </w:p>
    <w:p>
      <w:pPr>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c.货物安装、调试结束后进行初验，初验结果应符合生产厂家产品标准、国家有关标准和规范及合同要求。</w:t>
      </w:r>
    </w:p>
    <w:p>
      <w:pPr>
        <w:pageBreakBefore w:val="0"/>
        <w:widowControl w:val="0"/>
        <w:kinsoku/>
        <w:wordWrap/>
        <w:overflowPunct/>
        <w:topLinePunct w:val="0"/>
        <w:autoSpaceDE/>
        <w:autoSpaceDN/>
        <w:bidi w:val="0"/>
        <w:adjustRightInd w:val="0"/>
        <w:snapToGrid w:val="0"/>
        <w:spacing w:line="460" w:lineRule="exact"/>
        <w:ind w:firstLine="435"/>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d.货物安装调试结束后试运行</w:t>
      </w:r>
      <w:r>
        <w:rPr>
          <w:rFonts w:hint="eastAsia" w:ascii="宋体" w:hAnsi="宋体"/>
          <w:color w:val="000000" w:themeColor="text1"/>
          <w:sz w:val="24"/>
          <w:szCs w:val="24"/>
          <w:lang w:eastAsia="zh-CN"/>
          <w14:textFill>
            <w14:solidFill>
              <w14:schemeClr w14:val="tx1"/>
            </w14:solidFill>
          </w14:textFill>
        </w:rPr>
        <w:t>一年</w:t>
      </w:r>
      <w:r>
        <w:rPr>
          <w:rFonts w:hint="eastAsia" w:ascii="宋体" w:hAnsi="宋体"/>
          <w:color w:val="000000" w:themeColor="text1"/>
          <w:sz w:val="24"/>
          <w:szCs w:val="24"/>
          <w14:textFill>
            <w14:solidFill>
              <w14:schemeClr w14:val="tx1"/>
            </w14:solidFill>
          </w14:textFill>
        </w:rPr>
        <w:t>，试运行结束后由中标供应商会同采购单位按双方规定的标准及合同要求进行最终验收。</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e.采购单位有权委托我国相关具有检验资质的部门、单位、机构针对中标货物的技术性能进行检验。其检验结果将做为验收标准的组成部分之一。</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f. 验收时中标供应商必须派代表参加。验收过程所发生的一切费用由中标供应商承担。</w:t>
      </w:r>
    </w:p>
    <w:p>
      <w:pPr>
        <w:pStyle w:val="3"/>
        <w:pageBreakBefore w:val="0"/>
        <w:widowControl w:val="0"/>
        <w:tabs>
          <w:tab w:val="left" w:pos="1245"/>
        </w:tabs>
        <w:kinsoku/>
        <w:wordWrap/>
        <w:overflowPunct/>
        <w:topLinePunct w:val="0"/>
        <w:autoSpaceDE/>
        <w:autoSpaceDN/>
        <w:bidi w:val="0"/>
        <w:adjustRightInd w:val="0"/>
        <w:snapToGrid w:val="0"/>
        <w:spacing w:before="0" w:after="0" w:line="460" w:lineRule="exact"/>
        <w:jc w:val="left"/>
        <w:textAlignment w:val="auto"/>
        <w:rPr>
          <w:rFonts w:hint="eastAsia" w:ascii="宋体" w:hAnsi="宋体" w:eastAsia="宋体"/>
          <w:color w:val="000000" w:themeColor="text1"/>
          <w:sz w:val="24"/>
          <w:szCs w:val="24"/>
          <w14:textFill>
            <w14:solidFill>
              <w14:schemeClr w14:val="tx1"/>
            </w14:solidFill>
          </w14:textFill>
        </w:rPr>
      </w:pPr>
      <w:bookmarkStart w:id="62" w:name="_Toc10035507"/>
      <w:bookmarkStart w:id="63" w:name="_Toc496612153"/>
      <w:bookmarkStart w:id="64" w:name="_Toc514145511"/>
      <w:bookmarkStart w:id="65" w:name="_Toc492349926"/>
      <w:bookmarkStart w:id="66" w:name="_Toc492357142"/>
      <w:bookmarkStart w:id="67" w:name="_Toc57451660"/>
      <w:bookmarkStart w:id="68" w:name="_Toc492349748"/>
      <w:bookmarkStart w:id="69" w:name="_Toc48614326"/>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二</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保修期及售后服务</w:t>
      </w:r>
      <w:bookmarkEnd w:id="62"/>
      <w:bookmarkEnd w:id="63"/>
      <w:bookmarkEnd w:id="64"/>
    </w:p>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中标供应商必须确保提供的产品应是原厂、原装、全新产品，各项技术参数指标应达到该国家标准或行业标准以及投标文件的承诺，中标供应商应严格履行服务承诺，若产品出现质量技术等问题，应更换合格的产品，并承担由此引起的延长交付使用的经济责任。</w:t>
      </w:r>
    </w:p>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投标人应按照本采购项目特点提供长期良好的售后服务，并在投标文件中提供详细具体的售后服务承诺条款及保证。</w:t>
      </w:r>
    </w:p>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本次采购的货物最终验收合格后免费质量保修期为</w:t>
      </w:r>
      <w:r>
        <w:rPr>
          <w:rFonts w:hint="eastAsia" w:ascii="宋体" w:hAnsi="宋体"/>
          <w:color w:val="000000" w:themeColor="text1"/>
          <w:sz w:val="24"/>
          <w:lang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年（国家或厂家对设备或配件另有约定更长免费质量保修期的从其约定），在免费质量保修期内如出现故障中标供应商应免费提供咨询、维修服务，包括免费更换零部件。</w:t>
      </w:r>
    </w:p>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2.4</w:t>
      </w:r>
      <w:r>
        <w:rPr>
          <w:rFonts w:hint="eastAsia" w:ascii="宋体" w:hAnsi="宋体"/>
          <w:color w:val="000000" w:themeColor="text1"/>
          <w:sz w:val="24"/>
          <w14:textFill>
            <w14:solidFill>
              <w14:schemeClr w14:val="tx1"/>
            </w14:solidFill>
          </w14:textFill>
        </w:rPr>
        <w:t>免费质量保修期内货物一旦出现故障，中标供应商响应时间不超过30分钟，检修人员应在</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小时内到设备安装地点及时排除故障，如</w:t>
      </w:r>
      <w:r>
        <w:rPr>
          <w:rFonts w:hint="eastAsia" w:ascii="宋体" w:hAnsi="宋体"/>
          <w:color w:val="000000" w:themeColor="text1"/>
          <w:sz w:val="24"/>
          <w:lang w:val="en-US" w:eastAsia="zh-CN"/>
          <w14:textFill>
            <w14:solidFill>
              <w14:schemeClr w14:val="tx1"/>
            </w14:solidFill>
          </w14:textFill>
        </w:rPr>
        <w:t>12小时</w:t>
      </w:r>
      <w:r>
        <w:rPr>
          <w:rFonts w:hint="eastAsia" w:ascii="宋体" w:hAnsi="宋体"/>
          <w:color w:val="000000" w:themeColor="text1"/>
          <w:sz w:val="24"/>
          <w14:textFill>
            <w14:solidFill>
              <w14:schemeClr w14:val="tx1"/>
            </w14:solidFill>
          </w14:textFill>
        </w:rPr>
        <w:t>无法排除</w:t>
      </w:r>
      <w:r>
        <w:rPr>
          <w:rFonts w:hint="eastAsia" w:ascii="宋体" w:hAnsi="宋体"/>
          <w:color w:val="000000" w:themeColor="text1"/>
          <w:sz w:val="24"/>
          <w:lang w:eastAsia="zh-CN"/>
          <w14:textFill>
            <w14:solidFill>
              <w14:schemeClr w14:val="tx1"/>
            </w14:solidFill>
          </w14:textFill>
        </w:rPr>
        <w:t>故障</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不能及时修复的</w:t>
      </w:r>
      <w:r>
        <w:rPr>
          <w:rFonts w:hint="eastAsia" w:ascii="宋体" w:hAnsi="宋体"/>
          <w:color w:val="000000" w:themeColor="text1"/>
          <w:sz w:val="24"/>
          <w14:textFill>
            <w14:solidFill>
              <w14:schemeClr w14:val="tx1"/>
            </w14:solidFill>
          </w14:textFill>
        </w:rPr>
        <w:t>中标供应商</w:t>
      </w:r>
      <w:r>
        <w:rPr>
          <w:rFonts w:hint="eastAsia" w:ascii="宋体" w:hAnsi="宋体"/>
          <w:color w:val="000000" w:themeColor="text1"/>
          <w:sz w:val="24"/>
          <w:lang w:eastAsia="zh-CN"/>
          <w14:textFill>
            <w14:solidFill>
              <w14:schemeClr w14:val="tx1"/>
            </w14:solidFill>
          </w14:textFill>
        </w:rPr>
        <w:t>必须在</w:t>
      </w:r>
      <w:r>
        <w:rPr>
          <w:rFonts w:hint="eastAsia" w:ascii="宋体" w:hAnsi="宋体"/>
          <w:color w:val="000000" w:themeColor="text1"/>
          <w:sz w:val="24"/>
          <w:lang w:val="en-US" w:eastAsia="zh-CN"/>
          <w14:textFill>
            <w14:solidFill>
              <w14:schemeClr w14:val="tx1"/>
            </w14:solidFill>
          </w14:textFill>
        </w:rPr>
        <w:t>24</w:t>
      </w:r>
      <w:r>
        <w:rPr>
          <w:rFonts w:hint="eastAsia" w:ascii="宋体" w:hAnsi="宋体"/>
          <w:color w:val="000000" w:themeColor="text1"/>
          <w:sz w:val="24"/>
          <w14:textFill>
            <w14:solidFill>
              <w14:schemeClr w14:val="tx1"/>
            </w14:solidFill>
          </w14:textFill>
        </w:rPr>
        <w:t>小时内负责使用替代设备，其费用由中标供应商承担。</w:t>
      </w:r>
    </w:p>
    <w:p>
      <w:pPr>
        <w:pageBreakBefore w:val="0"/>
        <w:widowControl w:val="0"/>
        <w:numPr>
          <w:ilvl w:val="0"/>
          <w:numId w:val="0"/>
        </w:numPr>
        <w:tabs>
          <w:tab w:val="left" w:pos="945"/>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cs="Arial"/>
          <w:iCs/>
          <w:color w:val="000000" w:themeColor="text1"/>
          <w:sz w:val="24"/>
          <w14:textFill>
            <w14:solidFill>
              <w14:schemeClr w14:val="tx1"/>
            </w14:solidFill>
          </w14:textFill>
        </w:rPr>
      </w:pPr>
      <w:r>
        <w:rPr>
          <w:rFonts w:hint="eastAsia" w:ascii="宋体" w:cs="Arial"/>
          <w:iCs/>
          <w:color w:val="000000" w:themeColor="text1"/>
          <w:sz w:val="24"/>
          <w:lang w:val="en-US" w:eastAsia="zh-CN"/>
          <w14:textFill>
            <w14:solidFill>
              <w14:schemeClr w14:val="tx1"/>
            </w14:solidFill>
          </w14:textFill>
        </w:rPr>
        <w:t>2.5</w:t>
      </w:r>
      <w:r>
        <w:rPr>
          <w:rFonts w:hint="eastAsia" w:ascii="宋体" w:cs="Arial"/>
          <w:iCs/>
          <w:color w:val="000000" w:themeColor="text1"/>
          <w:sz w:val="24"/>
          <w14:textFill>
            <w14:solidFill>
              <w14:schemeClr w14:val="tx1"/>
            </w14:solidFill>
          </w14:textFill>
        </w:rPr>
        <w:t>中标供应商必须保证在货物质保期间不以任何借口不予修理，否则采购单位将有权没收中标人的质量保证金并索赔。</w:t>
      </w:r>
    </w:p>
    <w:bookmarkEnd w:id="65"/>
    <w:bookmarkEnd w:id="66"/>
    <w:bookmarkEnd w:id="67"/>
    <w:bookmarkEnd w:id="68"/>
    <w:bookmarkEnd w:id="69"/>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2.6</w:t>
      </w:r>
      <w:r>
        <w:rPr>
          <w:rFonts w:hint="eastAsia" w:ascii="宋体" w:hAnsi="宋体"/>
          <w:color w:val="000000" w:themeColor="text1"/>
          <w:sz w:val="24"/>
          <w14:textFill>
            <w14:solidFill>
              <w14:schemeClr w14:val="tx1"/>
            </w14:solidFill>
          </w14:textFill>
        </w:rPr>
        <w:t>中标供应商如有违反上述保修服务条款或自身承诺，采购单位有权没收其质量保证金，造成损失的同时应承担赔偿责任。</w:t>
      </w:r>
    </w:p>
    <w:p>
      <w:pPr>
        <w:pStyle w:val="3"/>
        <w:pageBreakBefore w:val="0"/>
        <w:widowControl w:val="0"/>
        <w:tabs>
          <w:tab w:val="left" w:pos="1245"/>
        </w:tabs>
        <w:kinsoku/>
        <w:wordWrap/>
        <w:overflowPunct/>
        <w:topLinePunct w:val="0"/>
        <w:autoSpaceDE/>
        <w:autoSpaceDN/>
        <w:bidi w:val="0"/>
        <w:adjustRightInd w:val="0"/>
        <w:snapToGrid w:val="0"/>
        <w:spacing w:before="0" w:after="0" w:line="460" w:lineRule="exact"/>
        <w:jc w:val="left"/>
        <w:textAlignment w:val="auto"/>
        <w:rPr>
          <w:rFonts w:hint="eastAsia" w:ascii="宋体" w:hAnsi="宋体" w:eastAsia="宋体"/>
          <w:color w:val="000000" w:themeColor="text1"/>
          <w:sz w:val="24"/>
          <w:szCs w:val="24"/>
          <w14:textFill>
            <w14:solidFill>
              <w14:schemeClr w14:val="tx1"/>
            </w14:solidFill>
          </w14:textFill>
        </w:rPr>
      </w:pPr>
      <w:bookmarkStart w:id="70" w:name="_Toc10035508"/>
      <w:bookmarkStart w:id="71" w:name="_Toc496612154"/>
      <w:bookmarkStart w:id="72" w:name="_Toc478753854"/>
      <w:bookmarkStart w:id="73" w:name="_Toc57451665"/>
      <w:bookmarkStart w:id="74" w:name="_Toc514145512"/>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三</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报价要求</w:t>
      </w:r>
      <w:bookmarkEnd w:id="70"/>
      <w:bookmarkEnd w:id="71"/>
      <w:bookmarkEnd w:id="72"/>
      <w:bookmarkEnd w:id="73"/>
      <w:bookmarkEnd w:id="74"/>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ascii="宋体" w:hAnsi="宋体"/>
          <w:color w:val="000000" w:themeColor="text1"/>
          <w:sz w:val="24"/>
          <w14:textFill>
            <w14:solidFill>
              <w14:schemeClr w14:val="tx1"/>
            </w14:solidFill>
          </w14:textFill>
        </w:rPr>
      </w:pPr>
      <w:bookmarkStart w:id="75" w:name="_Toc478753855"/>
      <w:bookmarkStart w:id="76" w:name="_Toc57451666"/>
      <w:r>
        <w:rPr>
          <w:rFonts w:hint="eastAsia" w:ascii="宋体" w:hAnsi="宋体"/>
          <w:color w:val="000000" w:themeColor="text1"/>
          <w:sz w:val="24"/>
          <w:lang w:val="en-US" w:eastAsia="zh-CN"/>
          <w14:textFill>
            <w14:solidFill>
              <w14:schemeClr w14:val="tx1"/>
            </w14:solidFill>
          </w14:textFill>
        </w:rPr>
        <w:t>3.1</w:t>
      </w:r>
      <w:r>
        <w:rPr>
          <w:rFonts w:hint="eastAsia" w:ascii="宋体" w:hAnsi="宋体"/>
          <w:color w:val="000000" w:themeColor="text1"/>
          <w:sz w:val="24"/>
          <w14:textFill>
            <w14:solidFill>
              <w14:schemeClr w14:val="tx1"/>
            </w14:solidFill>
          </w14:textFill>
        </w:rPr>
        <w:t>本次招标为整体招标，投标人必须对采购项目的所有内容进行报价响应，否则为无效投标</w:t>
      </w:r>
      <w:r>
        <w:rPr>
          <w:rFonts w:hint="eastAsia" w:ascii="宋体" w:hAnsi="宋体"/>
          <w:bCs/>
          <w:color w:val="000000" w:themeColor="text1"/>
          <w:sz w:val="24"/>
          <w14:textFill>
            <w14:solidFill>
              <w14:schemeClr w14:val="tx1"/>
            </w14:solidFill>
          </w14:textFill>
        </w:rPr>
        <w:t>。</w:t>
      </w:r>
    </w:p>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3.2</w:t>
      </w:r>
      <w:r>
        <w:rPr>
          <w:rFonts w:hint="eastAsia" w:ascii="宋体" w:hAnsi="宋体"/>
          <w:color w:val="000000" w:themeColor="text1"/>
          <w:sz w:val="24"/>
          <w14:textFill>
            <w14:solidFill>
              <w14:schemeClr w14:val="tx1"/>
            </w14:solidFill>
          </w14:textFill>
        </w:rPr>
        <w:t>报价及结算均以人民币为货币单位，应分单价、小计和总价，并注明税率。</w:t>
      </w:r>
      <w:r>
        <w:rPr>
          <w:rFonts w:hint="eastAsia" w:ascii="宋体" w:hAnsi="宋体"/>
          <w:b/>
          <w:color w:val="000000" w:themeColor="text1"/>
          <w:sz w:val="24"/>
          <w14:textFill>
            <w14:solidFill>
              <w14:schemeClr w14:val="tx1"/>
            </w14:solidFill>
          </w14:textFill>
        </w:rPr>
        <w:t>投标人未在开标一览表中注明税率的，将不推荐中标候选人。</w:t>
      </w:r>
    </w:p>
    <w:p>
      <w:pPr>
        <w:pageBreakBefore w:val="0"/>
        <w:widowControl w:val="0"/>
        <w:numPr>
          <w:ilvl w:val="0"/>
          <w:numId w:val="0"/>
        </w:numPr>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3.3</w:t>
      </w:r>
      <w:r>
        <w:rPr>
          <w:rFonts w:hint="eastAsia" w:ascii="宋体" w:hAnsi="宋体"/>
          <w:color w:val="000000" w:themeColor="text1"/>
          <w:sz w:val="24"/>
          <w14:textFill>
            <w14:solidFill>
              <w14:schemeClr w14:val="tx1"/>
            </w14:solidFill>
          </w14:textFill>
        </w:rPr>
        <w:t>投标总报价为项目经采购单位验收合格并交付使用所有可能发生的费用，包括但不限于货物及材料采购及其运输、装卸、安装费、税费、包装费、验收费、保险费、售后服务费等与完成本项目有关的费用。（投标人须在分项报价表中详细列出报价，如果所列分项报价不含以上内容，则视为已含在投标总价中）。</w:t>
      </w:r>
    </w:p>
    <w:p>
      <w:pPr>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3.4</w:t>
      </w:r>
      <w:r>
        <w:rPr>
          <w:rFonts w:hint="eastAsia" w:ascii="宋体" w:hAnsi="宋体"/>
          <w:b/>
          <w:color w:val="000000" w:themeColor="text1"/>
          <w:sz w:val="24"/>
          <w14:textFill>
            <w14:solidFill>
              <w14:schemeClr w14:val="tx1"/>
            </w14:solidFill>
          </w14:textFill>
        </w:rPr>
        <w:t>投标书、开标一览表、投标报价明细表应单独密封。投标文件的正、副本中不应体现开标一览表等与投标报价有关的内容，否则为无效投标。</w:t>
      </w:r>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3.5</w:t>
      </w:r>
      <w:r>
        <w:rPr>
          <w:rFonts w:hint="eastAsia" w:ascii="宋体" w:hAnsi="宋体"/>
          <w:color w:val="000000" w:themeColor="text1"/>
          <w:sz w:val="24"/>
          <w14:textFill>
            <w14:solidFill>
              <w14:schemeClr w14:val="tx1"/>
            </w14:solidFill>
          </w14:textFill>
        </w:rPr>
        <w:t>投标人的投标方案及投标报价只能有一个，招标采购单位不接受有选择的报价。</w:t>
      </w:r>
    </w:p>
    <w:p>
      <w:pPr>
        <w:pStyle w:val="3"/>
        <w:pageBreakBefore w:val="0"/>
        <w:widowControl w:val="0"/>
        <w:tabs>
          <w:tab w:val="left" w:pos="1245"/>
        </w:tabs>
        <w:kinsoku/>
        <w:wordWrap/>
        <w:overflowPunct/>
        <w:topLinePunct w:val="0"/>
        <w:autoSpaceDE/>
        <w:autoSpaceDN/>
        <w:bidi w:val="0"/>
        <w:adjustRightInd w:val="0"/>
        <w:snapToGrid w:val="0"/>
        <w:spacing w:before="0" w:after="0" w:line="460" w:lineRule="exact"/>
        <w:jc w:val="left"/>
        <w:textAlignment w:val="auto"/>
        <w:rPr>
          <w:rFonts w:hint="eastAsia" w:ascii="宋体" w:hAnsi="宋体" w:cs="Times New Roman"/>
          <w:color w:val="000000" w:themeColor="text1"/>
          <w:sz w:val="24"/>
          <w:szCs w:val="24"/>
          <w:lang w:eastAsia="zh-CN"/>
          <w14:textFill>
            <w14:solidFill>
              <w14:schemeClr w14:val="tx1"/>
            </w14:solidFill>
          </w14:textFill>
        </w:rPr>
      </w:pPr>
      <w:bookmarkStart w:id="77" w:name="_Toc496612155"/>
      <w:bookmarkStart w:id="78" w:name="_Toc514145513"/>
      <w:bookmarkStart w:id="79" w:name="_Toc10035509"/>
      <w:r>
        <w:rPr>
          <w:rFonts w:hint="eastAsia" w:ascii="宋体" w:hAnsi="宋体" w:cs="Times New Roman"/>
          <w:color w:val="000000" w:themeColor="text1"/>
          <w:sz w:val="24"/>
          <w:szCs w:val="24"/>
          <w:lang w:eastAsia="zh-CN"/>
          <w14:textFill>
            <w14:solidFill>
              <w14:schemeClr w14:val="tx1"/>
            </w14:solidFill>
          </w14:textFill>
        </w:rPr>
        <w:t>（四）</w:t>
      </w:r>
      <w:bookmarkEnd w:id="75"/>
      <w:bookmarkEnd w:id="76"/>
      <w:r>
        <w:rPr>
          <w:rFonts w:hint="eastAsia" w:ascii="宋体" w:hAnsi="宋体" w:cs="Times New Roman"/>
          <w:color w:val="000000" w:themeColor="text1"/>
          <w:sz w:val="24"/>
          <w:szCs w:val="24"/>
          <w:lang w:eastAsia="zh-CN"/>
          <w14:textFill>
            <w14:solidFill>
              <w14:schemeClr w14:val="tx1"/>
            </w14:solidFill>
          </w14:textFill>
        </w:rPr>
        <w:t>交货安装期限、交货地点</w:t>
      </w:r>
      <w:bookmarkEnd w:id="77"/>
      <w:bookmarkEnd w:id="78"/>
      <w:bookmarkEnd w:id="79"/>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4.1</w:t>
      </w:r>
      <w:r>
        <w:rPr>
          <w:rFonts w:hint="eastAsia" w:ascii="宋体" w:hAnsi="宋体"/>
          <w:color w:val="000000" w:themeColor="text1"/>
          <w:sz w:val="24"/>
          <w14:textFill>
            <w14:solidFill>
              <w14:schemeClr w14:val="tx1"/>
            </w14:solidFill>
          </w14:textFill>
        </w:rPr>
        <w:t>交货安装期限：</w:t>
      </w:r>
      <w:r>
        <w:rPr>
          <w:rFonts w:hint="eastAsia" w:ascii="宋体" w:hAnsi="宋体"/>
          <w:bCs/>
          <w:color w:val="000000" w:themeColor="text1"/>
          <w:sz w:val="24"/>
          <w:szCs w:val="24"/>
          <w14:textFill>
            <w14:solidFill>
              <w14:schemeClr w14:val="tx1"/>
            </w14:solidFill>
          </w14:textFill>
        </w:rPr>
        <w:t>签订合同之日起</w:t>
      </w:r>
      <w:r>
        <w:rPr>
          <w:rFonts w:hint="eastAsia" w:ascii="宋体" w:hAnsi="宋体"/>
          <w:bCs/>
          <w:color w:val="000000" w:themeColor="text1"/>
          <w:sz w:val="24"/>
          <w:szCs w:val="24"/>
          <w:lang w:val="en-US" w:eastAsia="zh-CN"/>
          <w14:textFill>
            <w14:solidFill>
              <w14:schemeClr w14:val="tx1"/>
            </w14:solidFill>
          </w14:textFill>
        </w:rPr>
        <w:t>15</w:t>
      </w:r>
      <w:r>
        <w:rPr>
          <w:rFonts w:hint="eastAsia" w:ascii="宋体" w:hAnsi="宋体"/>
          <w:bCs/>
          <w:color w:val="000000" w:themeColor="text1"/>
          <w:sz w:val="24"/>
          <w:szCs w:val="24"/>
          <w14:textFill>
            <w14:solidFill>
              <w14:schemeClr w14:val="tx1"/>
            </w14:solidFill>
          </w14:textFill>
        </w:rPr>
        <w:t>个日历日内供货安装完毕，且初验合格，交付使用</w:t>
      </w:r>
      <w:r>
        <w:rPr>
          <w:rFonts w:hint="eastAsia" w:ascii="宋体" w:hAnsi="宋体"/>
          <w:color w:val="000000" w:themeColor="text1"/>
          <w:sz w:val="24"/>
          <w14:textFill>
            <w14:solidFill>
              <w14:schemeClr w14:val="tx1"/>
            </w14:solidFill>
          </w14:textFill>
        </w:rPr>
        <w:t>。</w:t>
      </w:r>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交货地点：采购单位指定的设备安装地点。</w:t>
      </w:r>
    </w:p>
    <w:p>
      <w:pPr>
        <w:pStyle w:val="3"/>
        <w:pageBreakBefore w:val="0"/>
        <w:widowControl w:val="0"/>
        <w:tabs>
          <w:tab w:val="left" w:pos="1245"/>
        </w:tabs>
        <w:kinsoku/>
        <w:wordWrap/>
        <w:overflowPunct/>
        <w:topLinePunct w:val="0"/>
        <w:autoSpaceDE/>
        <w:autoSpaceDN/>
        <w:bidi w:val="0"/>
        <w:adjustRightInd w:val="0"/>
        <w:snapToGrid w:val="0"/>
        <w:spacing w:before="0" w:after="0" w:line="460" w:lineRule="exact"/>
        <w:jc w:val="left"/>
        <w:textAlignment w:val="auto"/>
        <w:rPr>
          <w:rFonts w:hint="eastAsia" w:ascii="宋体" w:hAnsi="宋体" w:cs="Times New Roman"/>
          <w:color w:val="000000" w:themeColor="text1"/>
          <w:sz w:val="24"/>
          <w:szCs w:val="24"/>
          <w:lang w:eastAsia="zh-CN"/>
          <w14:textFill>
            <w14:solidFill>
              <w14:schemeClr w14:val="tx1"/>
            </w14:solidFill>
          </w14:textFill>
        </w:rPr>
      </w:pPr>
      <w:bookmarkStart w:id="80" w:name="_Toc57451667"/>
      <w:bookmarkStart w:id="81" w:name="_Toc496612156"/>
      <w:bookmarkStart w:id="82" w:name="_Toc10035510"/>
      <w:bookmarkStart w:id="83" w:name="_Toc514145514"/>
      <w:r>
        <w:rPr>
          <w:rFonts w:hint="eastAsia" w:ascii="宋体" w:hAnsi="宋体" w:cs="Times New Roman"/>
          <w:color w:val="000000" w:themeColor="text1"/>
          <w:sz w:val="24"/>
          <w:szCs w:val="24"/>
          <w:lang w:eastAsia="zh-CN"/>
          <w14:textFill>
            <w14:solidFill>
              <w14:schemeClr w14:val="tx1"/>
            </w14:solidFill>
          </w14:textFill>
        </w:rPr>
        <w:t>（五）</w:t>
      </w:r>
      <w:bookmarkEnd w:id="80"/>
      <w:r>
        <w:rPr>
          <w:rFonts w:hint="eastAsia" w:ascii="宋体" w:hAnsi="宋体" w:cs="Times New Roman"/>
          <w:color w:val="000000" w:themeColor="text1"/>
          <w:sz w:val="24"/>
          <w:szCs w:val="24"/>
          <w:lang w:eastAsia="zh-CN"/>
          <w14:textFill>
            <w14:solidFill>
              <w14:schemeClr w14:val="tx1"/>
            </w14:solidFill>
          </w14:textFill>
        </w:rPr>
        <w:t>货款结算</w:t>
      </w:r>
      <w:bookmarkEnd w:id="81"/>
      <w:bookmarkEnd w:id="82"/>
      <w:bookmarkEnd w:id="83"/>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5.1</w:t>
      </w:r>
      <w:r>
        <w:rPr>
          <w:rFonts w:hint="eastAsia" w:ascii="宋体" w:hAnsi="宋体"/>
          <w:color w:val="000000" w:themeColor="text1"/>
          <w:sz w:val="24"/>
          <w14:textFill>
            <w14:solidFill>
              <w14:schemeClr w14:val="tx1"/>
            </w14:solidFill>
          </w14:textFill>
        </w:rPr>
        <w:t>所有货款均由采购单位支付；</w:t>
      </w:r>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5.2</w:t>
      </w:r>
      <w:r>
        <w:rPr>
          <w:rFonts w:hint="eastAsia" w:ascii="宋体" w:hAnsi="宋体"/>
          <w:color w:val="000000" w:themeColor="text1"/>
          <w:sz w:val="24"/>
          <w14:textFill>
            <w14:solidFill>
              <w14:schemeClr w14:val="tx1"/>
            </w14:solidFill>
          </w14:textFill>
        </w:rPr>
        <w:t>支付货款时应提供的资料：</w:t>
      </w:r>
    </w:p>
    <w:p>
      <w:pPr>
        <w:pageBreakBefore w:val="0"/>
        <w:widowControl w:val="0"/>
        <w:kinsoku/>
        <w:wordWrap/>
        <w:overflowPunct/>
        <w:topLinePunct w:val="0"/>
        <w:autoSpaceDE/>
        <w:autoSpaceDN/>
        <w:bidi w:val="0"/>
        <w:spacing w:line="46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5.2.1物资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服务采购验收表及合同复印件；</w:t>
      </w:r>
    </w:p>
    <w:p>
      <w:pPr>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5.2.2金额为全额正式发票（</w:t>
      </w:r>
      <w:r>
        <w:rPr>
          <w:rFonts w:hint="eastAsia" w:ascii="宋体" w:hAnsi="宋体"/>
          <w:color w:val="000000" w:themeColor="text1"/>
          <w:sz w:val="24"/>
          <w:u w:val="single"/>
          <w14:textFill>
            <w14:solidFill>
              <w14:schemeClr w14:val="tx1"/>
            </w14:solidFill>
          </w14:textFill>
        </w:rPr>
        <w:t>收款单位、发票开具单位必须与确定的供应商相一致）</w:t>
      </w:r>
      <w:r>
        <w:rPr>
          <w:rFonts w:hint="eastAsia" w:ascii="宋体" w:hAnsi="宋体"/>
          <w:color w:val="000000" w:themeColor="text1"/>
          <w:sz w:val="24"/>
          <w14:textFill>
            <w14:solidFill>
              <w14:schemeClr w14:val="tx1"/>
            </w14:solidFill>
          </w14:textFill>
        </w:rPr>
        <w:t>。</w:t>
      </w:r>
    </w:p>
    <w:p>
      <w:pPr>
        <w:pageBreakBefore w:val="0"/>
        <w:widowControl w:val="0"/>
        <w:numPr>
          <w:ilvl w:val="0"/>
          <w:numId w:val="0"/>
        </w:numPr>
        <w:kinsoku/>
        <w:wordWrap/>
        <w:overflowPunct/>
        <w:topLinePunct w:val="0"/>
        <w:autoSpaceDE/>
        <w:autoSpaceDN/>
        <w:bidi w:val="0"/>
        <w:spacing w:line="460" w:lineRule="exact"/>
        <w:ind w:left="425" w:lef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5.3</w:t>
      </w:r>
      <w:r>
        <w:rPr>
          <w:rFonts w:hint="eastAsia" w:ascii="宋体" w:hAnsi="宋体"/>
          <w:color w:val="000000" w:themeColor="text1"/>
          <w:sz w:val="24"/>
          <w14:textFill>
            <w14:solidFill>
              <w14:schemeClr w14:val="tx1"/>
            </w14:solidFill>
          </w14:textFill>
        </w:rPr>
        <w:t>付款</w:t>
      </w:r>
    </w:p>
    <w:p>
      <w:pPr>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5.3.1付款前，中标供应商需一次性开具该项目全额用发票；</w:t>
      </w:r>
    </w:p>
    <w:p>
      <w:pPr>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5.3.2</w:t>
      </w:r>
      <w:r>
        <w:rPr>
          <w:rFonts w:hint="eastAsia" w:ascii="宋体" w:hAnsi="宋体"/>
          <w:color w:val="000000" w:themeColor="text1"/>
          <w:sz w:val="24"/>
          <w:szCs w:val="24"/>
          <w14:textFill>
            <w14:solidFill>
              <w14:schemeClr w14:val="tx1"/>
            </w14:solidFill>
          </w14:textFill>
        </w:rPr>
        <w:t>货物安装调试结束后，经初验合格后的30个工作日内支付合同价款</w:t>
      </w:r>
      <w:r>
        <w:rPr>
          <w:rFonts w:hint="eastAsia" w:ascii="宋体" w:hAnsi="宋体"/>
          <w:color w:val="000000" w:themeColor="text1"/>
          <w:sz w:val="24"/>
          <w:szCs w:val="24"/>
          <w:lang w:val="en-US" w:eastAsia="zh-CN"/>
          <w14:textFill>
            <w14:solidFill>
              <w14:schemeClr w14:val="tx1"/>
            </w14:solidFill>
          </w14:textFill>
        </w:rPr>
        <w:t>90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试运行结</w:t>
      </w:r>
    </w:p>
    <w:p>
      <w:pPr>
        <w:pageBreakBefore w:val="0"/>
        <w:widowControl w:val="0"/>
        <w:kinsoku/>
        <w:wordWrap/>
        <w:overflowPunct/>
        <w:topLinePunct w:val="0"/>
        <w:autoSpaceDE/>
        <w:autoSpaceDN/>
        <w:bidi w:val="0"/>
        <w:spacing w:line="46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束后，经最终验收合格后的</w:t>
      </w:r>
      <w:r>
        <w:rPr>
          <w:rFonts w:hint="eastAsia" w:ascii="宋体" w:hAnsi="宋体"/>
          <w:color w:val="000000" w:themeColor="text1"/>
          <w:sz w:val="24"/>
          <w:lang w:val="en-US" w:eastAsia="zh-CN"/>
          <w14:textFill>
            <w14:solidFill>
              <w14:schemeClr w14:val="tx1"/>
            </w14:solidFill>
          </w14:textFill>
        </w:rPr>
        <w:t>1年后</w:t>
      </w:r>
      <w:r>
        <w:rPr>
          <w:rFonts w:hint="eastAsia" w:ascii="宋体" w:hAnsi="宋体"/>
          <w:color w:val="000000" w:themeColor="text1"/>
          <w:sz w:val="24"/>
          <w14:textFill>
            <w14:solidFill>
              <w14:schemeClr w14:val="tx1"/>
            </w14:solidFill>
          </w14:textFill>
        </w:rPr>
        <w:t>支付合同价款</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%。中标人必须提前向采购单位提供全额发票，否则采购单位有权相应顺延付款时间。</w:t>
      </w:r>
    </w:p>
    <w:p>
      <w:pPr>
        <w:pStyle w:val="3"/>
        <w:pageBreakBefore w:val="0"/>
        <w:widowControl w:val="0"/>
        <w:tabs>
          <w:tab w:val="left" w:pos="1245"/>
        </w:tabs>
        <w:kinsoku/>
        <w:wordWrap/>
        <w:overflowPunct/>
        <w:topLinePunct w:val="0"/>
        <w:autoSpaceDE/>
        <w:autoSpaceDN/>
        <w:bidi w:val="0"/>
        <w:adjustRightInd w:val="0"/>
        <w:snapToGrid w:val="0"/>
        <w:spacing w:before="0" w:after="0" w:line="460" w:lineRule="exact"/>
        <w:jc w:val="left"/>
        <w:textAlignment w:val="auto"/>
        <w:rPr>
          <w:rFonts w:hint="eastAsia" w:ascii="宋体" w:hAnsi="宋体" w:cs="Times New Roman"/>
          <w:color w:val="000000" w:themeColor="text1"/>
          <w:sz w:val="24"/>
          <w:szCs w:val="24"/>
          <w:lang w:eastAsia="zh-CN"/>
          <w14:textFill>
            <w14:solidFill>
              <w14:schemeClr w14:val="tx1"/>
            </w14:solidFill>
          </w14:textFill>
        </w:rPr>
      </w:pPr>
      <w:bookmarkStart w:id="84" w:name="_Toc10035511"/>
      <w:bookmarkStart w:id="85" w:name="_Toc496612157"/>
      <w:bookmarkStart w:id="86" w:name="_Toc514145515"/>
      <w:r>
        <w:rPr>
          <w:rFonts w:hint="eastAsia" w:ascii="宋体" w:hAnsi="宋体" w:cs="Times New Roman"/>
          <w:color w:val="000000" w:themeColor="text1"/>
          <w:sz w:val="24"/>
          <w:szCs w:val="24"/>
          <w:lang w:eastAsia="zh-CN"/>
          <w14:textFill>
            <w14:solidFill>
              <w14:schemeClr w14:val="tx1"/>
            </w14:solidFill>
          </w14:textFill>
        </w:rPr>
        <w:t>（六）履约保证金</w:t>
      </w:r>
      <w:bookmarkEnd w:id="84"/>
      <w:bookmarkEnd w:id="85"/>
      <w:bookmarkEnd w:id="86"/>
    </w:p>
    <w:p>
      <w:pPr>
        <w:pageBreakBefore w:val="0"/>
        <w:widowControl w:val="0"/>
        <w:numPr>
          <w:ilvl w:val="0"/>
          <w:numId w:val="0"/>
        </w:numPr>
        <w:tabs>
          <w:tab w:val="left" w:pos="720"/>
        </w:tabs>
        <w:kinsoku/>
        <w:wordWrap/>
        <w:overflowPunct/>
        <w:topLinePunct w:val="0"/>
        <w:autoSpaceDE/>
        <w:autoSpaceDN/>
        <w:bidi w:val="0"/>
        <w:spacing w:line="4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6.1</w:t>
      </w:r>
      <w:r>
        <w:rPr>
          <w:rFonts w:hint="eastAsia" w:ascii="宋体"/>
          <w:color w:val="000000" w:themeColor="text1"/>
          <w:sz w:val="24"/>
          <w14:textFill>
            <w14:solidFill>
              <w14:schemeClr w14:val="tx1"/>
            </w14:solidFill>
          </w14:textFill>
        </w:rPr>
        <w:t>中标人在与采购单位签订合同前，需通过银行转账方式提交中标总金额</w:t>
      </w:r>
      <w:r>
        <w:rPr>
          <w:rFonts w:hint="eastAsia" w:ascii="宋体"/>
          <w:color w:val="000000" w:themeColor="text1"/>
          <w:sz w:val="24"/>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%的履约保证金。</w:t>
      </w:r>
      <w:r>
        <w:rPr>
          <w:rFonts w:hint="eastAsia" w:ascii="宋体" w:hAnsi="宋体"/>
          <w:color w:val="000000" w:themeColor="text1"/>
          <w:spacing w:val="-6"/>
          <w:sz w:val="24"/>
          <w14:textFill>
            <w14:solidFill>
              <w14:schemeClr w14:val="tx1"/>
            </w14:solidFill>
          </w14:textFill>
        </w:rPr>
        <w:t>该履约保证金在项目最终验收合格后转为</w:t>
      </w:r>
      <w:r>
        <w:rPr>
          <w:rFonts w:hint="eastAsia" w:ascii="宋体" w:hAnsi="宋体"/>
          <w:color w:val="000000" w:themeColor="text1"/>
          <w:sz w:val="24"/>
          <w14:textFill>
            <w14:solidFill>
              <w14:schemeClr w14:val="tx1"/>
            </w14:solidFill>
          </w14:textFill>
        </w:rPr>
        <w:t>质量保证金，该保证金在</w:t>
      </w:r>
      <w:r>
        <w:rPr>
          <w:rFonts w:hint="eastAsia" w:ascii="宋体" w:hAnsi="宋体" w:cs="宋体"/>
          <w:color w:val="000000" w:themeColor="text1"/>
          <w:sz w:val="24"/>
          <w14:textFill>
            <w14:solidFill>
              <w14:schemeClr w14:val="tx1"/>
            </w14:solidFill>
          </w14:textFill>
        </w:rPr>
        <w:t>免费质量</w:t>
      </w:r>
      <w:r>
        <w:rPr>
          <w:rFonts w:ascii="宋体" w:hAnsi="宋体" w:cs="宋体"/>
          <w:color w:val="000000" w:themeColor="text1"/>
          <w:sz w:val="24"/>
          <w14:textFill>
            <w14:solidFill>
              <w14:schemeClr w14:val="tx1"/>
            </w14:solidFill>
          </w14:textFill>
        </w:rPr>
        <w:t>保</w:t>
      </w:r>
      <w:r>
        <w:rPr>
          <w:rFonts w:hint="eastAsia" w:ascii="宋体" w:hAnsi="宋体" w:cs="宋体"/>
          <w:color w:val="000000" w:themeColor="text1"/>
          <w:sz w:val="24"/>
          <w14:textFill>
            <w14:solidFill>
              <w14:schemeClr w14:val="tx1"/>
            </w14:solidFill>
          </w14:textFill>
        </w:rPr>
        <w:t>修期满</w:t>
      </w:r>
      <w:r>
        <w:rPr>
          <w:rFonts w:hint="eastAsia" w:ascii="宋体" w:hAnsi="宋体"/>
          <w:color w:val="000000" w:themeColor="text1"/>
          <w:sz w:val="24"/>
          <w14:textFill>
            <w14:solidFill>
              <w14:schemeClr w14:val="tx1"/>
            </w14:solidFill>
          </w14:textFill>
        </w:rPr>
        <w:t>后，且中标供应商供应的货物全部验收合格，无质量及售后服务问题时</w:t>
      </w:r>
      <w:r>
        <w:rPr>
          <w:rFonts w:hint="eastAsia" w:ascii="宋体" w:hAnsi="宋体"/>
          <w:color w:val="000000" w:themeColor="text1"/>
          <w:spacing w:val="-6"/>
          <w:sz w:val="24"/>
          <w14:textFill>
            <w14:solidFill>
              <w14:schemeClr w14:val="tx1"/>
            </w14:solidFill>
          </w14:textFill>
        </w:rPr>
        <w:t>，采购单位</w:t>
      </w:r>
      <w:r>
        <w:rPr>
          <w:rFonts w:hint="eastAsia" w:ascii="宋体" w:hAnsi="宋体" w:cs="仿宋_GB2312"/>
          <w:color w:val="000000" w:themeColor="text1"/>
          <w:sz w:val="24"/>
          <w:lang w:val="zh-CN"/>
          <w14:textFill>
            <w14:solidFill>
              <w14:schemeClr w14:val="tx1"/>
            </w14:solidFill>
          </w14:textFill>
        </w:rPr>
        <w:t>在收到成交供应商的付款申请后</w:t>
      </w:r>
      <w:r>
        <w:rPr>
          <w:rFonts w:hint="eastAsia" w:ascii="宋体" w:hAnsi="宋体" w:cs="仿宋_GB2312"/>
          <w:color w:val="000000" w:themeColor="text1"/>
          <w:sz w:val="24"/>
          <w:u w:val="single"/>
          <w:lang w:val="zh-CN"/>
          <w14:textFill>
            <w14:solidFill>
              <w14:schemeClr w14:val="tx1"/>
            </w14:solidFill>
          </w14:textFill>
        </w:rPr>
        <w:t xml:space="preserve"> 15个工作日</w:t>
      </w:r>
      <w:r>
        <w:rPr>
          <w:rFonts w:hint="eastAsia" w:ascii="宋体" w:hAnsi="宋体" w:cs="仿宋_GB2312"/>
          <w:color w:val="000000" w:themeColor="text1"/>
          <w:sz w:val="24"/>
          <w:lang w:val="zh-CN"/>
          <w14:textFill>
            <w14:solidFill>
              <w14:schemeClr w14:val="tx1"/>
            </w14:solidFill>
          </w14:textFill>
        </w:rPr>
        <w:t>内无息退还。</w:t>
      </w:r>
    </w:p>
    <w:p>
      <w:pPr>
        <w:pageBreakBefore w:val="0"/>
        <w:widowControl w:val="0"/>
        <w:numPr>
          <w:ilvl w:val="0"/>
          <w:numId w:val="0"/>
        </w:numPr>
        <w:tabs>
          <w:tab w:val="left" w:pos="720"/>
        </w:tabs>
        <w:kinsoku/>
        <w:wordWrap/>
        <w:overflowPunct/>
        <w:topLinePunct w:val="0"/>
        <w:autoSpaceDE/>
        <w:autoSpaceDN/>
        <w:bidi w:val="0"/>
        <w:spacing w:line="460" w:lineRule="exact"/>
        <w:ind w:left="180" w:leftChars="0" w:firstLine="240" w:firstLineChars="100"/>
        <w:jc w:val="left"/>
        <w:textAlignment w:val="auto"/>
        <w:rPr>
          <w:rFonts w:hint="eastAsia"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6.2</w:t>
      </w:r>
      <w:r>
        <w:rPr>
          <w:rFonts w:hint="eastAsia" w:ascii="宋体"/>
          <w:color w:val="000000" w:themeColor="text1"/>
          <w:sz w:val="24"/>
          <w14:textFill>
            <w14:solidFill>
              <w14:schemeClr w14:val="tx1"/>
            </w14:solidFill>
          </w14:textFill>
        </w:rPr>
        <w:t>中标供应商的履约保证金在汇入时应备注项目名称及保证金性质，如“</w:t>
      </w:r>
      <w:r>
        <w:rPr>
          <w:rFonts w:hint="eastAsia" w:ascii="宋体" w:hAnsi="宋体"/>
          <w:bCs/>
          <w:color w:val="000000" w:themeColor="text1"/>
          <w:spacing w:val="4"/>
          <w:sz w:val="24"/>
          <w:szCs w:val="24"/>
          <w:lang w:eastAsia="zh-CN"/>
          <w14:textFill>
            <w14:solidFill>
              <w14:schemeClr w14:val="tx1"/>
            </w14:solidFill>
          </w14:textFill>
        </w:rPr>
        <w:t>湄洲湾职业技术学院新校区</w:t>
      </w:r>
      <w:r>
        <w:rPr>
          <w:rFonts w:hint="eastAsia" w:ascii="宋体"/>
          <w:color w:val="000000" w:themeColor="text1"/>
          <w:sz w:val="24"/>
          <w:lang w:eastAsia="zh-CN"/>
          <w14:textFill>
            <w14:solidFill>
              <w14:schemeClr w14:val="tx1"/>
            </w14:solidFill>
          </w14:textFill>
        </w:rPr>
        <w:t>智能平移门</w:t>
      </w:r>
      <w:r>
        <w:rPr>
          <w:rFonts w:hint="eastAsia" w:ascii="宋体"/>
          <w:color w:val="000000" w:themeColor="text1"/>
          <w:sz w:val="24"/>
          <w14:textFill>
            <w14:solidFill>
              <w14:schemeClr w14:val="tx1"/>
            </w14:solidFill>
          </w14:textFill>
        </w:rPr>
        <w:t>采购及安装项目履约保证金”。汇款后，应到采购单位的相关部门开具收款收据。</w:t>
      </w:r>
    </w:p>
    <w:p>
      <w:pPr>
        <w:pageBreakBefore w:val="0"/>
        <w:widowControl w:val="0"/>
        <w:numPr>
          <w:ilvl w:val="0"/>
          <w:numId w:val="0"/>
        </w:numPr>
        <w:tabs>
          <w:tab w:val="left" w:pos="720"/>
        </w:tabs>
        <w:kinsoku/>
        <w:wordWrap/>
        <w:overflowPunct/>
        <w:topLinePunct w:val="0"/>
        <w:autoSpaceDE/>
        <w:autoSpaceDN/>
        <w:bidi w:val="0"/>
        <w:spacing w:line="460" w:lineRule="exact"/>
        <w:ind w:left="180" w:leftChars="0" w:firstLine="480" w:firstLineChars="200"/>
        <w:jc w:val="left"/>
        <w:textAlignment w:val="auto"/>
        <w:rPr>
          <w:rFonts w:hint="eastAsia" w:ascii="宋体" w:hAnsi="宋体"/>
          <w:b/>
          <w:bCs/>
          <w:color w:val="000000" w:themeColor="text1"/>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6.3</w:t>
      </w:r>
      <w:r>
        <w:rPr>
          <w:rFonts w:hint="eastAsia" w:ascii="宋体"/>
          <w:color w:val="000000" w:themeColor="text1"/>
          <w:sz w:val="24"/>
          <w14:textFill>
            <w14:solidFill>
              <w14:schemeClr w14:val="tx1"/>
            </w14:solidFill>
          </w14:textFill>
        </w:rPr>
        <w:t>履约保证金提交至</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14:textFill>
            <w14:solidFill>
              <w14:schemeClr w14:val="tx1"/>
            </w14:solidFill>
          </w14:textFill>
        </w:rPr>
        <w:t>户名：</w:t>
      </w:r>
      <w:r>
        <w:rPr>
          <w:rFonts w:hint="eastAsia" w:ascii="宋体"/>
          <w:color w:val="000000" w:themeColor="text1"/>
          <w:sz w:val="24"/>
          <w:lang w:val="en-US" w:eastAsia="zh-CN"/>
          <w14:textFill>
            <w14:solidFill>
              <w14:schemeClr w14:val="tx1"/>
            </w14:solidFill>
          </w14:textFill>
        </w:rPr>
        <w:t xml:space="preserve">      </w:t>
      </w:r>
      <w:r>
        <w:rPr>
          <w:rFonts w:hint="eastAsia" w:ascii="宋体"/>
          <w:color w:val="000000" w:themeColor="text1"/>
          <w:sz w:val="24"/>
          <w14:textFill>
            <w14:solidFill>
              <w14:schemeClr w14:val="tx1"/>
            </w14:solidFill>
          </w14:textFill>
        </w:rPr>
        <w:t>账号：</w:t>
      </w:r>
      <w:r>
        <w:rPr>
          <w:rFonts w:hint="eastAsia" w:ascii="宋体"/>
          <w:color w:val="000000" w:themeColor="text1"/>
          <w:sz w:val="24"/>
          <w:lang w:val="en-US" w:eastAsia="zh-CN"/>
          <w14:textFill>
            <w14:solidFill>
              <w14:schemeClr w14:val="tx1"/>
            </w14:solidFill>
          </w14:textFill>
        </w:rPr>
        <w:t xml:space="preserve">       </w:t>
      </w:r>
      <w:r>
        <w:rPr>
          <w:rFonts w:hint="eastAsia" w:ascii="宋体"/>
          <w:color w:val="000000" w:themeColor="text1"/>
          <w:sz w:val="24"/>
          <w14:textFill>
            <w14:solidFill>
              <w14:schemeClr w14:val="tx1"/>
            </w14:solidFill>
          </w14:textFill>
        </w:rPr>
        <w:t>开户银行：</w:t>
      </w:r>
    </w:p>
    <w:p>
      <w:pPr>
        <w:numPr>
          <w:ilvl w:val="0"/>
          <w:numId w:val="0"/>
        </w:numPr>
        <w:snapToGrid w:val="0"/>
        <w:spacing w:line="360" w:lineRule="auto"/>
        <w:jc w:val="both"/>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三、</w:t>
      </w:r>
      <w:r>
        <w:rPr>
          <w:rFonts w:hint="eastAsia" w:ascii="宋体" w:hAnsi="宋体"/>
          <w:b/>
          <w:bCs/>
          <w:color w:val="000000" w:themeColor="text1"/>
          <w:sz w:val="28"/>
          <w:szCs w:val="28"/>
          <w14:textFill>
            <w14:solidFill>
              <w14:schemeClr w14:val="tx1"/>
            </w14:solidFill>
          </w14:textFill>
        </w:rPr>
        <w:t>技术与商务应答内容</w:t>
      </w:r>
      <w:bookmarkStart w:id="87" w:name="_Toc48614338"/>
      <w:bookmarkStart w:id="88" w:name="_Toc57451672"/>
    </w:p>
    <w:bookmarkEnd w:id="87"/>
    <w:bookmarkEnd w:id="88"/>
    <w:p>
      <w:pPr>
        <w:pStyle w:val="17"/>
        <w:adjustRightInd w:val="0"/>
        <w:snapToGrid w:val="0"/>
        <w:ind w:firstLine="480"/>
        <w:rPr>
          <w:rFonts w:hint="eastAsia" w:ascii="宋体" w:hAnsi="宋体" w:cs="Courier New"/>
          <w:bCs/>
          <w:iCs/>
          <w:color w:val="000000" w:themeColor="text1"/>
          <w:kern w:val="0"/>
          <w:sz w:val="24"/>
          <w14:textFill>
            <w14:solidFill>
              <w14:schemeClr w14:val="tx1"/>
            </w14:solidFill>
          </w14:textFill>
        </w:rPr>
      </w:pPr>
      <w:bookmarkStart w:id="89" w:name="_Toc514145519"/>
      <w:bookmarkStart w:id="90" w:name="_Toc511749895"/>
      <w:bookmarkStart w:id="91" w:name="_Toc10035515"/>
      <w:bookmarkStart w:id="92" w:name="_Toc510130827"/>
      <w:bookmarkStart w:id="93" w:name="_Toc496612160"/>
      <w:r>
        <w:rPr>
          <w:rFonts w:hint="eastAsia" w:ascii="宋体" w:hAnsi="宋体" w:cs="Courier New"/>
          <w:bCs/>
          <w:iCs/>
          <w:color w:val="000000" w:themeColor="text1"/>
          <w:kern w:val="0"/>
          <w:sz w:val="24"/>
          <w14:textFill>
            <w14:solidFill>
              <w14:schemeClr w14:val="tx1"/>
            </w14:solidFill>
          </w14:textFill>
        </w:rPr>
        <w:t>根据采购项目的技术商务需求，要求投标人对照下列技术、商务应答条款的内容应答，并保证应答内容真实、可信，如果出现应答内容与事实不符情况，投标将被拒绝。</w:t>
      </w:r>
      <w:bookmarkEnd w:id="89"/>
      <w:bookmarkEnd w:id="90"/>
      <w:bookmarkEnd w:id="91"/>
      <w:bookmarkEnd w:id="92"/>
      <w:bookmarkEnd w:id="93"/>
    </w:p>
    <w:p>
      <w:pPr>
        <w:pStyle w:val="3"/>
        <w:tabs>
          <w:tab w:val="left" w:pos="1245"/>
        </w:tabs>
        <w:adjustRightInd w:val="0"/>
        <w:snapToGrid w:val="0"/>
        <w:spacing w:before="0" w:after="0" w:line="480" w:lineRule="exact"/>
        <w:jc w:val="both"/>
        <w:rPr>
          <w:rFonts w:hint="eastAsia" w:ascii="宋体" w:hAnsi="宋体" w:eastAsia="宋体"/>
          <w:color w:val="000000" w:themeColor="text1"/>
          <w:sz w:val="24"/>
          <w:szCs w:val="24"/>
          <w14:textFill>
            <w14:solidFill>
              <w14:schemeClr w14:val="tx1"/>
            </w14:solidFill>
          </w14:textFill>
        </w:rPr>
      </w:pPr>
      <w:bookmarkStart w:id="94" w:name="_Toc511644876"/>
      <w:bookmarkStart w:id="95" w:name="_Toc490756247"/>
      <w:bookmarkStart w:id="96" w:name="_Toc514145520"/>
      <w:bookmarkStart w:id="97" w:name="_Toc10035516"/>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一</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技术应答</w:t>
      </w:r>
      <w:bookmarkEnd w:id="94"/>
      <w:bookmarkEnd w:id="95"/>
      <w:bookmarkEnd w:id="96"/>
      <w:bookmarkEnd w:id="97"/>
    </w:p>
    <w:p>
      <w:pPr>
        <w:pStyle w:val="4"/>
        <w:numPr>
          <w:ilvl w:val="0"/>
          <w:numId w:val="8"/>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详细提供投标货物的品牌、规格型号、数量、产地及生产厂家情况（附供货明细表）。</w:t>
      </w:r>
    </w:p>
    <w:p>
      <w:pPr>
        <w:pStyle w:val="4"/>
        <w:numPr>
          <w:ilvl w:val="0"/>
          <w:numId w:val="8"/>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对照采购项目技术要求的内容，详细提供货物的技术参数指标。</w:t>
      </w:r>
    </w:p>
    <w:p>
      <w:pPr>
        <w:pStyle w:val="4"/>
        <w:numPr>
          <w:ilvl w:val="0"/>
          <w:numId w:val="8"/>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项目的实施方案投标人须提供项目实施计划、供货计划、项目进度计划的安排等情况。</w:t>
      </w:r>
    </w:p>
    <w:p>
      <w:pPr>
        <w:pStyle w:val="4"/>
        <w:numPr>
          <w:ilvl w:val="0"/>
          <w:numId w:val="8"/>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提供技术要求偏离表，投标人应根据《采购文件》第二部分的要求的内容逐条应答。</w:t>
      </w:r>
    </w:p>
    <w:p>
      <w:pPr>
        <w:pStyle w:val="4"/>
        <w:numPr>
          <w:ilvl w:val="0"/>
          <w:numId w:val="0"/>
        </w:numPr>
        <w:tabs>
          <w:tab w:val="left" w:pos="900"/>
        </w:tabs>
        <w:adjustRightInd w:val="0"/>
        <w:snapToGrid w:val="0"/>
        <w:spacing w:line="460" w:lineRule="exact"/>
        <w:ind w:left="360" w:leftChars="0"/>
        <w:rPr>
          <w:rFonts w:ascii="仿宋_GB2312" w:hAnsi="黑体" w:eastAsia="仿宋_GB2312"/>
          <w:b/>
          <w:color w:val="000000" w:themeColor="text1"/>
          <w:sz w:val="32"/>
          <w:szCs w:val="32"/>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1.5  </w:t>
      </w:r>
      <w:r>
        <w:rPr>
          <w:rFonts w:hint="eastAsia" w:ascii="宋体" w:hAnsi="宋体"/>
          <w:b/>
          <w:bCs/>
          <w:color w:val="000000" w:themeColor="text1"/>
          <w:sz w:val="24"/>
          <w14:textFill>
            <w14:solidFill>
              <w14:schemeClr w14:val="tx1"/>
            </w14:solidFill>
          </w14:textFill>
        </w:rPr>
        <w:t>投标人需根据设备安装现场的实际状况，</w:t>
      </w:r>
      <w:r>
        <w:rPr>
          <w:rFonts w:hint="eastAsia" w:ascii="宋体" w:hAnsi="宋体" w:cs="Courier New"/>
          <w:b/>
          <w:bCs/>
          <w:iCs/>
          <w:color w:val="000000" w:themeColor="text1"/>
          <w:sz w:val="24"/>
          <w:szCs w:val="21"/>
          <w14:textFill>
            <w14:solidFill>
              <w14:schemeClr w14:val="tx1"/>
            </w14:solidFill>
          </w14:textFill>
        </w:rPr>
        <w:t>出具具体的设计图纸及安装方案。</w:t>
      </w:r>
    </w:p>
    <w:p>
      <w:pPr>
        <w:pStyle w:val="3"/>
        <w:tabs>
          <w:tab w:val="left" w:pos="1245"/>
        </w:tabs>
        <w:adjustRightInd w:val="0"/>
        <w:snapToGrid w:val="0"/>
        <w:spacing w:before="0" w:after="0" w:line="480" w:lineRule="exact"/>
        <w:jc w:val="both"/>
        <w:rPr>
          <w:rFonts w:hint="eastAsia" w:ascii="宋体" w:hAnsi="宋体" w:eastAsia="宋体"/>
          <w:color w:val="000000" w:themeColor="text1"/>
          <w:sz w:val="24"/>
          <w:szCs w:val="24"/>
          <w14:textFill>
            <w14:solidFill>
              <w14:schemeClr w14:val="tx1"/>
            </w14:solidFill>
          </w14:textFill>
        </w:rPr>
      </w:pPr>
      <w:bookmarkStart w:id="98" w:name="_Toc514145521"/>
      <w:bookmarkStart w:id="99" w:name="_Toc511644877"/>
      <w:bookmarkStart w:id="100" w:name="_Toc10035517"/>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二</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商务应答</w:t>
      </w:r>
      <w:bookmarkEnd w:id="98"/>
      <w:bookmarkEnd w:id="99"/>
      <w:bookmarkEnd w:id="100"/>
    </w:p>
    <w:p>
      <w:pPr>
        <w:pStyle w:val="4"/>
        <w:numPr>
          <w:ilvl w:val="0"/>
          <w:numId w:val="9"/>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 xml:space="preserve">服务、质量保证条款。 </w:t>
      </w:r>
    </w:p>
    <w:p>
      <w:pPr>
        <w:pStyle w:val="4"/>
        <w:numPr>
          <w:ilvl w:val="0"/>
          <w:numId w:val="9"/>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提供商务条款偏离表，对采购文件商务要求相关要求进行应答。</w:t>
      </w:r>
    </w:p>
    <w:p>
      <w:pPr>
        <w:pStyle w:val="4"/>
        <w:numPr>
          <w:ilvl w:val="0"/>
          <w:numId w:val="9"/>
        </w:numPr>
        <w:tabs>
          <w:tab w:val="left" w:pos="900"/>
        </w:tabs>
        <w:adjustRightInd w:val="0"/>
        <w:snapToGrid w:val="0"/>
        <w:spacing w:line="460" w:lineRule="exact"/>
        <w:ind w:hanging="65"/>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14:textFill>
            <w14:solidFill>
              <w14:schemeClr w14:val="tx1"/>
            </w14:solidFill>
          </w14:textFill>
        </w:rPr>
        <w:t>投标人应对保修期、售后服务方案、交货时间等条款作出应答。</w:t>
      </w:r>
    </w:p>
    <w:p>
      <w:pPr>
        <w:pStyle w:val="3"/>
        <w:tabs>
          <w:tab w:val="left" w:pos="1245"/>
        </w:tabs>
        <w:adjustRightInd w:val="0"/>
        <w:snapToGrid w:val="0"/>
        <w:spacing w:before="0" w:after="0" w:line="480" w:lineRule="exact"/>
        <w:jc w:val="both"/>
        <w:rPr>
          <w:rFonts w:hint="eastAsia" w:ascii="宋体" w:hAnsi="宋体" w:eastAsia="宋体"/>
          <w:color w:val="000000" w:themeColor="text1"/>
          <w:sz w:val="24"/>
          <w:szCs w:val="24"/>
          <w14:textFill>
            <w14:solidFill>
              <w14:schemeClr w14:val="tx1"/>
            </w14:solidFill>
          </w14:textFill>
        </w:rPr>
      </w:pPr>
      <w:bookmarkStart w:id="101" w:name="_Toc514145522"/>
      <w:bookmarkStart w:id="102" w:name="_Toc511644878"/>
      <w:bookmarkStart w:id="103" w:name="_Toc10035518"/>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三</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其他要求</w:t>
      </w:r>
      <w:bookmarkEnd w:id="101"/>
      <w:bookmarkEnd w:id="102"/>
      <w:bookmarkEnd w:id="103"/>
    </w:p>
    <w:p>
      <w:pPr>
        <w:adjustRightInd w:val="0"/>
        <w:snapToGrid w:val="0"/>
        <w:spacing w:line="360" w:lineRule="auto"/>
        <w:ind w:firstLine="480" w:firstLineChars="200"/>
        <w:jc w:val="left"/>
        <w:rPr>
          <w:rFonts w:hint="eastAsia" w:ascii="宋体" w:hAnsi="宋体"/>
          <w:color w:val="000000" w:themeColor="text1"/>
          <w14:textFill>
            <w14:solidFill>
              <w14:schemeClr w14:val="tx1"/>
            </w14:solidFill>
          </w14:textFill>
        </w:rPr>
      </w:pPr>
      <w:r>
        <w:rPr>
          <w:rFonts w:hint="eastAsia" w:ascii="宋体" w:hAnsi="宋体" w:cs="Courier New"/>
          <w:bCs/>
          <w:iCs/>
          <w:color w:val="000000" w:themeColor="text1"/>
          <w:kern w:val="0"/>
          <w:sz w:val="24"/>
          <w14:textFill>
            <w14:solidFill>
              <w14:schemeClr w14:val="tx1"/>
            </w14:solidFill>
          </w14:textFill>
        </w:rPr>
        <w:t>1.提供企业信誉、财务状况、履约能力等可以证明企业综合实力的材料。</w:t>
      </w:r>
    </w:p>
    <w:p>
      <w:pPr>
        <w:spacing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bCs/>
          <w:color w:val="000000" w:themeColor="text1"/>
          <w:sz w:val="36"/>
          <w14:textFill>
            <w14:solidFill>
              <w14:schemeClr w14:val="tx1"/>
            </w14:solidFill>
          </w14:textFill>
        </w:rPr>
        <w:t>第四章</w:t>
      </w:r>
      <w:r>
        <w:rPr>
          <w:rFonts w:hint="eastAsia" w:asciiTheme="minorEastAsia" w:hAnsiTheme="minorEastAsia" w:eastAsiaTheme="minorEastAsia" w:cstheme="minorEastAsia"/>
          <w:b/>
          <w:color w:val="000000" w:themeColor="text1"/>
          <w:sz w:val="36"/>
          <w14:textFill>
            <w14:solidFill>
              <w14:schemeClr w14:val="tx1"/>
            </w14:solidFill>
          </w14:textFill>
        </w:rPr>
        <w:t xml:space="preserve">   采购合同(参考文本)</w:t>
      </w: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合同号：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甲方(招标人)：                            签定地点：                   </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乙方(中标人)：                            签定日期：      年   月   日</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见证单位(招标代理机构)：</w:t>
      </w:r>
    </w:p>
    <w:p>
      <w:pPr>
        <w:spacing w:line="30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根据甲方申请并经主管部门核准，甲方委托福建莆田恒顺招标代理有限公司对以下货物进行招标采购(招标编号：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)的招标结果，乙方为中标人，现依照招标文件、投标文件及相关文件的内容，双方达成如下协议：</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合同标的和合同价格</w:t>
      </w:r>
    </w:p>
    <w:tbl>
      <w:tblPr>
        <w:tblStyle w:val="29"/>
        <w:tblW w:w="9351"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合同包</w:t>
            </w:r>
          </w:p>
        </w:tc>
        <w:tc>
          <w:tcPr>
            <w:tcW w:w="808" w:type="dxa"/>
            <w:tcBorders>
              <w:top w:val="single" w:color="auto" w:sz="18" w:space="0"/>
              <w:left w:val="single" w:color="auto" w:sz="4"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品目号</w:t>
            </w:r>
          </w:p>
        </w:tc>
        <w:tc>
          <w:tcPr>
            <w:tcW w:w="924"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货物名称</w:t>
            </w:r>
          </w:p>
        </w:tc>
        <w:tc>
          <w:tcPr>
            <w:tcW w:w="924"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品牌型号</w:t>
            </w:r>
          </w:p>
        </w:tc>
        <w:tc>
          <w:tcPr>
            <w:tcW w:w="1382" w:type="dxa"/>
            <w:tcBorders>
              <w:top w:val="single" w:color="auto" w:sz="18" w:space="0"/>
              <w:bottom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配置和技术参数</w:t>
            </w:r>
          </w:p>
        </w:tc>
        <w:tc>
          <w:tcPr>
            <w:tcW w:w="862" w:type="dxa"/>
            <w:tcBorders>
              <w:top w:val="single" w:color="auto" w:sz="18" w:space="0"/>
              <w:left w:val="single" w:color="auto" w:sz="4" w:space="0"/>
              <w:bottom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生产厂家</w:t>
            </w:r>
          </w:p>
        </w:tc>
        <w:tc>
          <w:tcPr>
            <w:tcW w:w="742" w:type="dxa"/>
            <w:tcBorders>
              <w:top w:val="single" w:color="auto" w:sz="18" w:space="0"/>
              <w:left w:val="single" w:color="auto" w:sz="4"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976"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单价</w:t>
            </w:r>
          </w:p>
        </w:tc>
        <w:tc>
          <w:tcPr>
            <w:tcW w:w="976"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小计</w:t>
            </w:r>
          </w:p>
        </w:tc>
        <w:tc>
          <w:tcPr>
            <w:tcW w:w="948"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08" w:type="dxa"/>
            <w:tcBorders>
              <w:top w:val="single" w:color="auto" w:sz="6" w:space="0"/>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82" w:type="dxa"/>
            <w:tcBorders>
              <w:top w:val="single" w:color="auto" w:sz="6" w:space="0"/>
              <w:right w:val="single" w:color="auto" w:sz="4" w:space="0"/>
            </w:tcBorders>
            <w:vAlign w:val="center"/>
          </w:tcPr>
          <w:p>
            <w:pPr>
              <w:pStyle w:val="27"/>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62" w:type="dxa"/>
            <w:tcBorders>
              <w:top w:val="single" w:color="auto" w:sz="6" w:space="0"/>
              <w:left w:val="single" w:color="auto" w:sz="4" w:space="0"/>
              <w:right w:val="single" w:color="auto" w:sz="4" w:space="0"/>
            </w:tcBorders>
            <w:vAlign w:val="center"/>
          </w:tcPr>
          <w:p>
            <w:pPr>
              <w:pStyle w:val="27"/>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742" w:type="dxa"/>
            <w:tcBorders>
              <w:top w:val="single" w:color="auto" w:sz="6" w:space="0"/>
              <w:left w:val="single" w:color="auto" w:sz="4" w:space="0"/>
            </w:tcBorders>
            <w:vAlign w:val="center"/>
          </w:tcPr>
          <w:p>
            <w:pPr>
              <w:pStyle w:val="27"/>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76" w:type="dxa"/>
            <w:tcBorders>
              <w:top w:val="single" w:color="auto" w:sz="6" w:space="0"/>
            </w:tcBorders>
            <w:vAlign w:val="center"/>
          </w:tcPr>
          <w:p>
            <w:pPr>
              <w:pStyle w:val="27"/>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76"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48"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08"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82"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62" w:type="dxa"/>
            <w:tcBorders>
              <w:left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42"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48"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08"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82"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62" w:type="dxa"/>
            <w:tcBorders>
              <w:left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42"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48"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 w:hRule="atLeast"/>
          <w:jc w:val="center"/>
        </w:trPr>
        <w:tc>
          <w:tcPr>
            <w:tcW w:w="9351" w:type="dxa"/>
            <w:gridSpan w:val="10"/>
            <w:vAlign w:val="center"/>
          </w:tcPr>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总价：                       圆整(大写)       ￥：          (小写)</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(合同总金额包含备件、安装、调试、检验和运输保险等费用)</w:t>
            </w:r>
          </w:p>
        </w:tc>
      </w:tr>
    </w:tbl>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交货方式、地点和时间</w:t>
      </w:r>
    </w:p>
    <w:p>
      <w:pPr>
        <w:numPr>
          <w:ilvl w:val="0"/>
          <w:numId w:val="11"/>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交货方式：</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0"/>
          <w:numId w:val="11"/>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交货地点：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0"/>
          <w:numId w:val="11"/>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供货清单</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付款方式与条件</w:t>
      </w:r>
    </w:p>
    <w:p>
      <w:pPr>
        <w:numPr>
          <w:ilvl w:val="0"/>
          <w:numId w:val="12"/>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货物交货付款</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全部货物交货并经验收合格后，甲方凭收讫货物的验收凭证和货物验收合格文件等材料以</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方式向乙方一次性支付</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的货物价款。(若乙方有支付履约保证金的，可在支付货款时予以扣除。)</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现场交货条件下，乙方要求付款应提交下列单证和文件。</w:t>
      </w:r>
    </w:p>
    <w:p>
      <w:pPr>
        <w:numPr>
          <w:ilvl w:val="1"/>
          <w:numId w:val="13"/>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金额为有关合同货物价格</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的正式发票。</w:t>
      </w:r>
    </w:p>
    <w:p>
      <w:pPr>
        <w:numPr>
          <w:ilvl w:val="1"/>
          <w:numId w:val="13"/>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生产厂家出具的货物质量合格证书。</w:t>
      </w:r>
    </w:p>
    <w:p>
      <w:pPr>
        <w:numPr>
          <w:ilvl w:val="1"/>
          <w:numId w:val="13"/>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甲方已收讫货物的验收凭证。</w:t>
      </w:r>
    </w:p>
    <w:p>
      <w:pPr>
        <w:numPr>
          <w:ilvl w:val="1"/>
          <w:numId w:val="13"/>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甲方签发的验收合格文件。</w:t>
      </w:r>
    </w:p>
    <w:p>
      <w:pPr>
        <w:numPr>
          <w:ilvl w:val="0"/>
          <w:numId w:val="12"/>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分期支付货款的，余下的货款应于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(时间)支付。</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质量要求和技术标准</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质量条款可细分为产品质量、包装质量、技术资料质量等内容。</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(质量要求和技术标准应按招标文件要求填列。)</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安装调试、技术服务、人员培训及技术资料</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(安装调试、技术服务、人员培训及技术资料应按招标文件要求填列。)</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验收</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(货物验收标准和方法应按招标文件要求填列。)验收结果经双方确认后，双方代表必须按规定的验收交接单上的项目对照本合同填好验收结果并签名盖章。</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质量保证和售后服务：</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所有货物质保期要求均为货物经最终验收合格后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个月，在质量保证期内设备运行发生故障时，乙方在接到甲方故障通知后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质量保证期后乙方应承担以下售后服务：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知识产权：</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违约责任</w:t>
      </w:r>
    </w:p>
    <w:p>
      <w:pPr>
        <w:numPr>
          <w:ilvl w:val="2"/>
          <w:numId w:val="10"/>
        </w:numPr>
        <w:tabs>
          <w:tab w:val="left" w:pos="0"/>
          <w:tab w:val="clear" w:pos="1260"/>
        </w:tabs>
        <w:spacing w:line="300" w:lineRule="auto"/>
        <w:ind w:left="0"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10"/>
        </w:numPr>
        <w:tabs>
          <w:tab w:val="left" w:pos="0"/>
          <w:tab w:val="clear" w:pos="1260"/>
        </w:tabs>
        <w:spacing w:line="300" w:lineRule="auto"/>
        <w:ind w:left="0"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当乙方发生违约时，乙方的质量合格证金或甲方未支付的货款可以作为上述违约金的一部份、由甲方直接扣抵。</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违约终止合同</w:t>
      </w:r>
    </w:p>
    <w:p>
      <w:pPr>
        <w:spacing w:line="300" w:lineRule="auto"/>
        <w:ind w:firstLine="523" w:firstLineChars="218"/>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10"/>
        </w:numPr>
        <w:tabs>
          <w:tab w:val="left" w:pos="420"/>
          <w:tab w:val="clear" w:pos="1680"/>
        </w:tabs>
        <w:spacing w:line="300" w:lineRule="auto"/>
        <w:ind w:left="0" w:firstLine="42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如果乙方未能在合同规定的期限内或双方另行确定的延期交货时间内交付合同约定的货物。</w:t>
      </w:r>
    </w:p>
    <w:p>
      <w:pPr>
        <w:numPr>
          <w:ilvl w:val="3"/>
          <w:numId w:val="10"/>
        </w:numPr>
        <w:tabs>
          <w:tab w:val="left" w:pos="420"/>
          <w:tab w:val="clear" w:pos="1680"/>
        </w:tabs>
        <w:spacing w:line="300" w:lineRule="auto"/>
        <w:ind w:left="0" w:firstLine="42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乙方未能履行合同项下的任何其它义务。</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不可抗力</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合同纠纷处理方式：</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因本合同或与本合同有关的一切事项发生争议，由双方友好协商解决。协商不成的，任何一方均可选择以下方式解决：</w:t>
      </w:r>
    </w:p>
    <w:p>
      <w:pPr>
        <w:numPr>
          <w:ilvl w:val="0"/>
          <w:numId w:val="14"/>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向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(甲方所在地)</w:t>
      </w:r>
      <w:r>
        <w:rPr>
          <w:rFonts w:hint="eastAsia" w:asciiTheme="minorEastAsia" w:hAnsiTheme="minorEastAsia" w:eastAsiaTheme="minorEastAsia" w:cstheme="minorEastAsia"/>
          <w:color w:val="000000" w:themeColor="text1"/>
          <w:sz w:val="24"/>
          <w14:textFill>
            <w14:solidFill>
              <w14:schemeClr w14:val="tx1"/>
            </w14:solidFill>
          </w14:textFill>
        </w:rPr>
        <w:t>仲裁委员会申请仲裁；</w:t>
      </w:r>
    </w:p>
    <w:p>
      <w:pPr>
        <w:numPr>
          <w:ilvl w:val="0"/>
          <w:numId w:val="14"/>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向有管辖权的人民法院提起诉讼。</w:t>
      </w:r>
    </w:p>
    <w:p>
      <w:pPr>
        <w:numPr>
          <w:ilvl w:val="1"/>
          <w:numId w:val="10"/>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其他约定</w:t>
      </w:r>
    </w:p>
    <w:p>
      <w:pPr>
        <w:numPr>
          <w:ilvl w:val="0"/>
          <w:numId w:val="15"/>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若在交付使用过程中，因乙方的质量或安装工艺等原因而造成甲方人员安全或其他损失的，乙方应承担全部赔偿责任。</w:t>
      </w:r>
    </w:p>
    <w:p>
      <w:pPr>
        <w:numPr>
          <w:ilvl w:val="0"/>
          <w:numId w:val="15"/>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本采购项目的招标文件、中标人的投标文件以及相关的澄清确认函(如果有的话)均为本合同不可分割的一部分，与本合同具有同等法律效力。</w:t>
      </w:r>
    </w:p>
    <w:p>
      <w:pPr>
        <w:numPr>
          <w:ilvl w:val="0"/>
          <w:numId w:val="15"/>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本合同未尽事宜，双方另行补充。</w:t>
      </w:r>
    </w:p>
    <w:p>
      <w:pPr>
        <w:numPr>
          <w:ilvl w:val="0"/>
          <w:numId w:val="15"/>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本合同一式陆份，经双方授权代表签字并盖章后生效。甲方、乙方各执贰份，送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(招标文件投标人须知前附表第8项所述的招标项目行政监督部门) </w:t>
      </w:r>
      <w:r>
        <w:rPr>
          <w:rFonts w:hint="eastAsia" w:asciiTheme="minorEastAsia" w:hAnsiTheme="minorEastAsia" w:eastAsiaTheme="minorEastAsia" w:cstheme="minorEastAsia"/>
          <w:color w:val="000000" w:themeColor="text1"/>
          <w:sz w:val="24"/>
          <w14:textFill>
            <w14:solidFill>
              <w14:schemeClr w14:val="tx1"/>
            </w14:solidFill>
          </w14:textFill>
        </w:rPr>
        <w:t>备案一份，送招标代理人存档一份，具有同等效力。</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    方：                            乙    方：</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单位地址：                            单位地址：</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商务代表：                            法定代表人：</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委托代理人：                          委托代理人：</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手机/电话：                           手机/电话：</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                            开户银行：</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账    号：                            账    号：</w:t>
      </w:r>
    </w:p>
    <w:p>
      <w:pPr>
        <w:pStyle w:val="4"/>
        <w:snapToGrid w:val="0"/>
        <w:spacing w:line="300" w:lineRule="auto"/>
        <w:ind w:firstLine="0"/>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4"/>
        <w:snapToGrid w:val="0"/>
        <w:spacing w:line="300" w:lineRule="auto"/>
        <w:ind w:firstLine="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见证单位：福建莆田恒顺招标代理有限公司(盖章)</w:t>
      </w:r>
    </w:p>
    <w:p>
      <w:pPr>
        <w:pStyle w:val="4"/>
        <w:snapToGrid w:val="0"/>
        <w:spacing w:line="300" w:lineRule="auto"/>
        <w:ind w:firstLine="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见证日期：     年     月    日</w:t>
      </w:r>
    </w:p>
    <w:p>
      <w:pPr>
        <w:pStyle w:val="4"/>
        <w:snapToGrid w:val="0"/>
        <w:spacing w:line="360" w:lineRule="auto"/>
        <w:ind w:firstLine="2396" w:firstLineChars="663"/>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t xml:space="preserve"> </w:t>
      </w:r>
    </w:p>
    <w:p>
      <w:pPr>
        <w:pStyle w:val="4"/>
        <w:snapToGrid w:val="0"/>
        <w:spacing w:line="360" w:lineRule="auto"/>
        <w:ind w:firstLine="2396" w:firstLineChars="663"/>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p>
    <w:p>
      <w:pPr>
        <w:pStyle w:val="4"/>
        <w:snapToGrid w:val="0"/>
        <w:spacing w:line="360" w:lineRule="auto"/>
        <w:ind w:firstLine="2396" w:firstLineChars="663"/>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p>
    <w:p>
      <w:pPr>
        <w:pStyle w:val="4"/>
        <w:snapToGrid w:val="0"/>
        <w:spacing w:line="360" w:lineRule="auto"/>
        <w:ind w:left="0" w:leftChars="0" w:firstLine="0" w:firstLineChars="0"/>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p>
    <w:p>
      <w:pPr>
        <w:pStyle w:val="4"/>
        <w:snapToGrid w:val="0"/>
        <w:spacing w:line="360" w:lineRule="auto"/>
        <w:ind w:firstLine="2396" w:firstLineChars="663"/>
        <w:rPr>
          <w:rFonts w:hint="eastAsia" w:asciiTheme="minorEastAsia" w:hAnsiTheme="minorEastAsia" w:eastAsiaTheme="minorEastAsia" w:cstheme="minorEastAsia"/>
          <w:b/>
          <w:bCs/>
          <w:color w:val="000000" w:themeColor="text1"/>
          <w:sz w:val="36"/>
          <w14:textFill>
            <w14:solidFill>
              <w14:schemeClr w14:val="tx1"/>
            </w14:solidFill>
          </w14:textFill>
        </w:rPr>
      </w:pPr>
      <w:r>
        <w:rPr>
          <w:rFonts w:hint="eastAsia" w:asciiTheme="minorEastAsia" w:hAnsiTheme="minorEastAsia" w:eastAsiaTheme="minorEastAsia" w:cstheme="minorEastAsia"/>
          <w:b/>
          <w:bCs/>
          <w:color w:val="000000" w:themeColor="text1"/>
          <w:sz w:val="36"/>
          <w14:textFill>
            <w14:solidFill>
              <w14:schemeClr w14:val="tx1"/>
            </w14:solidFill>
          </w14:textFill>
        </w:rPr>
        <w:t>五章    投标文件格式</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投 标 文 件</w:t>
      </w: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(封面)</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（一）报价部分</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项目名称：</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招标编号：</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(正本/副本)</w:t>
      </w: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投标人名称 ：</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法定代表人姓名：</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地址：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邮编：</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315" w:firstLineChars="98"/>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电话：</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传真：</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网址：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电子邮箱：</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投标代表(印刷体)：</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签字：</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手机：</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 ：20</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60" w:lineRule="exac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p>
    <w:p>
      <w:pPr>
        <w:spacing w:line="36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spacing w:line="36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报  价  表</w:t>
      </w:r>
      <w:r>
        <w:rPr>
          <w:rFonts w:hint="eastAsia" w:asciiTheme="minorEastAsia" w:hAnsiTheme="minorEastAsia" w:eastAsiaTheme="minorEastAsia" w:cstheme="minorEastAsia"/>
          <w:b/>
          <w:color w:val="000000" w:themeColor="text1"/>
          <w:sz w:val="24"/>
          <w14:textFill>
            <w14:solidFill>
              <w14:schemeClr w14:val="tx1"/>
            </w14:solidFill>
          </w14:textFill>
        </w:rPr>
        <w:t>（格式、可按实际要求自行调整）</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29"/>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合同包</w:t>
            </w: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品目号</w:t>
            </w: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品牌规格</w:t>
            </w: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产地</w:t>
            </w: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数量</w:t>
            </w: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单价</w:t>
            </w: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50" w:type="dxa"/>
            <w:gridSpan w:val="8"/>
            <w:vAlign w:val="top"/>
          </w:tcPr>
          <w:p>
            <w:pPr>
              <w:spacing w:line="480" w:lineRule="auto"/>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合同包(   )报价总价：-------------------元整-(大写)￥：       (小写)</w:t>
            </w:r>
          </w:p>
        </w:tc>
      </w:tr>
    </w:tbl>
    <w:p>
      <w:pPr>
        <w:pStyle w:val="16"/>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备注：技术商务部分文件中出现投标报价的，其投标无效。</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470" w:firstLineChars="196"/>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投 标 文 件</w:t>
      </w: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(封面)</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（二）资格及资信证明部分</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项目名称：</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招标编号：</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(正本/副本)</w:t>
      </w: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投标人名称 ：</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法定代表人姓名：</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地址：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邮编：</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315" w:firstLineChars="98"/>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电话：</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传真：</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网址：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电子邮箱：</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投标代表(印刷体)：</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签字：</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手机：</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 ：20</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40" w:lineRule="exact"/>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附件1</w:t>
      </w:r>
    </w:p>
    <w:p>
      <w:pPr>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投 标 书</w:t>
      </w:r>
    </w:p>
    <w:p>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40" w:lineRule="exact"/>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根据贵方为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14:textFill>
            <w14:solidFill>
              <w14:schemeClr w14:val="tx1"/>
            </w14:solidFill>
          </w14:textFill>
        </w:rPr>
        <w:t xml:space="preserve">的投标邀请(招标编号)：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，本签字代表</w:t>
      </w:r>
      <w:r>
        <w:rPr>
          <w:rFonts w:hint="eastAsia" w:asciiTheme="minorEastAsia" w:hAnsiTheme="minorEastAsia" w:eastAsiaTheme="minorEastAsia" w:cstheme="minorEastAsia"/>
          <w:color w:val="000000" w:themeColor="text1"/>
          <w:sz w:val="24"/>
          <w:u w:val="single"/>
          <w14:textFill>
            <w14:solidFill>
              <w14:schemeClr w14:val="tx1"/>
            </w14:solidFill>
          </w14:textFill>
        </w:rPr>
        <w:t>(全名、职务)</w:t>
      </w:r>
      <w:r>
        <w:rPr>
          <w:rFonts w:hint="eastAsia" w:asciiTheme="minorEastAsia" w:hAnsiTheme="minorEastAsia" w:eastAsiaTheme="minorEastAsia" w:cstheme="minorEastAsia"/>
          <w:color w:val="000000" w:themeColor="text1"/>
          <w:sz w:val="24"/>
          <w14:textFill>
            <w14:solidFill>
              <w14:schemeClr w14:val="tx1"/>
            </w14:solidFill>
          </w14:textFill>
        </w:rPr>
        <w:t>被正式授权并代表投标人</w:t>
      </w:r>
      <w:r>
        <w:rPr>
          <w:rFonts w:hint="eastAsia" w:asciiTheme="minorEastAsia" w:hAnsiTheme="minorEastAsia" w:eastAsiaTheme="minorEastAsia" w:cstheme="minorEastAsia"/>
          <w:color w:val="000000" w:themeColor="text1"/>
          <w:sz w:val="24"/>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sz w:val="24"/>
          <w14:textFill>
            <w14:solidFill>
              <w14:schemeClr w14:val="tx1"/>
            </w14:solidFill>
          </w14:textFill>
        </w:rPr>
        <w:t>提交下述文件正本一份和副本四份，电子版一份。</w:t>
      </w:r>
    </w:p>
    <w:p>
      <w:pPr>
        <w:spacing w:line="34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第一部分 报价部分（单独编制装订胶装成册并密封）：</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（1）开标一览表</w:t>
      </w:r>
    </w:p>
    <w:p>
      <w:pPr>
        <w:spacing w:line="34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sz w:val="24"/>
          <w14:textFill>
            <w14:solidFill>
              <w14:schemeClr w14:val="tx1"/>
            </w14:solidFill>
          </w14:textFill>
        </w:rPr>
        <w:t>资格及资信证明部分</w:t>
      </w:r>
      <w:r>
        <w:rPr>
          <w:rFonts w:hint="eastAsia" w:asciiTheme="minorEastAsia" w:hAnsiTheme="minorEastAsia" w:eastAsiaTheme="minorEastAsia" w:cstheme="minorEastAsia"/>
          <w:b/>
          <w:bCs/>
          <w:color w:val="000000" w:themeColor="text1"/>
          <w:sz w:val="24"/>
          <w14:textFill>
            <w14:solidFill>
              <w14:schemeClr w14:val="tx1"/>
            </w14:solidFill>
          </w14:textFill>
        </w:rPr>
        <w:t>（单独编制装订胶装成册并密封）：</w:t>
      </w:r>
    </w:p>
    <w:p>
      <w:pPr>
        <w:pStyle w:val="27"/>
        <w:widowControl/>
        <w:spacing w:before="100" w:after="100" w:line="34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（1）投标书</w:t>
      </w:r>
    </w:p>
    <w:p>
      <w:pPr>
        <w:pStyle w:val="27"/>
        <w:widowControl/>
        <w:spacing w:before="100" w:after="100" w:line="34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（2）投标人的资格及资信证明文件</w:t>
      </w:r>
    </w:p>
    <w:p>
      <w:pPr>
        <w:pStyle w:val="27"/>
        <w:widowControl/>
        <w:spacing w:before="100" w:after="100" w:line="340" w:lineRule="exact"/>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（3）投标保证金</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第三部分 技术商务部分文件（单独编制装订胶装成册并密封</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 货物说明一览表</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（2）供货范围清单 </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（3）技术规格偏离表</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（4）商务偏离表</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（5）招标服务费承诺书</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（6）退回保证金说明函</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（7）招标文件和法律法规要求提交的其他文件</w:t>
      </w:r>
    </w:p>
    <w:p>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（8）以</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方式提供的金额为人民币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元的投标保证金。</w:t>
      </w:r>
    </w:p>
    <w:p>
      <w:pPr>
        <w:tabs>
          <w:tab w:val="left" w:pos="1260"/>
        </w:tabs>
        <w:spacing w:line="340" w:lineRule="exact"/>
        <w:ind w:firstLine="588" w:firstLineChars="24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据此函，签字代表宣布同意如下：</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我方愿意积极参与本项目的投标，并保证遵守招标文件的全部规定，投标人所提交的材料中所含的信息均为真实、准确、完整，且不具有任何误导性。</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投标人已详细审查全部招标文件，包括修改文件(如有的话)和有关附件，将自行承担因对全部招标文件理解不正确或误解而产生的相应后果。</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投标人将按招标文件的规定履行合同责任和义务。</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本投标文件自开标日起投标有效期为：投标截止期结束后90个日历日</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如果发生招标文件第二章投标人须知第12条所述情况，则同意招标代理人不予退还投标保证金。</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投标人同意提供按照招标人可能要求的与其投标有关的一切数据或资料，完全理解贵方不一定要接受最低的报价或收到的任何投标。</w:t>
      </w:r>
    </w:p>
    <w:p>
      <w:pPr>
        <w:numPr>
          <w:ilvl w:val="0"/>
          <w:numId w:val="16"/>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与本投标有关的一切正式往来通讯请寄：</w:t>
      </w:r>
    </w:p>
    <w:p>
      <w:pPr>
        <w:spacing w:line="340" w:lineRule="exact"/>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投标人名称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40" w:lineRule="exact"/>
        <w:ind w:firstLine="117" w:firstLineChars="49"/>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邮编：</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40" w:lineRule="exact"/>
        <w:ind w:firstLine="235" w:firstLineChars="98"/>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40" w:lineRule="exact"/>
        <w:ind w:firstLine="590" w:firstLineChars="246"/>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投标代表(印刷体)：</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50"/>
        <w:adjustRightInd w:val="0"/>
        <w:snapToGrid w:val="0"/>
        <w:spacing w:line="340" w:lineRule="exact"/>
        <w:ind w:left="420" w:leftChars="200" w:firstLine="12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手机：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：20</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w:t>
      </w:r>
    </w:p>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投标人的资格证明文件</w:t>
      </w:r>
    </w:p>
    <w:p>
      <w:pPr>
        <w:pStyle w:val="72"/>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附件2－1</w:t>
      </w:r>
    </w:p>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关于资格的声明函</w:t>
      </w:r>
      <w:r>
        <w:rPr>
          <w:rFonts w:hint="eastAsia" w:asciiTheme="minorEastAsia" w:hAnsiTheme="minorEastAsia" w:eastAsiaTheme="minorEastAsia" w:cstheme="minorEastAsia"/>
          <w:color w:val="000000" w:themeColor="text1"/>
          <w:sz w:val="24"/>
          <w14:textFill>
            <w14:solidFill>
              <w14:schemeClr w14:val="tx1"/>
            </w14:solidFill>
          </w14:textFill>
        </w:rPr>
        <w:cr/>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关于贵方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(招标编号)</w:t>
      </w:r>
      <w:r>
        <w:rPr>
          <w:rFonts w:hint="eastAsia" w:asciiTheme="minorEastAsia" w:hAnsiTheme="minorEastAsia" w:eastAsiaTheme="minorEastAsia" w:cstheme="minorEastAsia"/>
          <w:color w:val="000000" w:themeColor="text1"/>
          <w:sz w:val="24"/>
          <w14:textFill>
            <w14:solidFill>
              <w14:schemeClr w14:val="tx1"/>
            </w14:solidFill>
          </w14:textFill>
        </w:rPr>
        <w:t>投标邀请，本签字人愿意参加投标，提供招标文件“招标货物及要求”中规定的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(合同包/品目号)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(货物名称)</w:t>
      </w:r>
      <w:r>
        <w:rPr>
          <w:rFonts w:hint="eastAsia" w:asciiTheme="minorEastAsia" w:hAnsiTheme="minorEastAsia" w:eastAsiaTheme="minorEastAsia" w:cstheme="minorEastAsia"/>
          <w:color w:val="000000" w:themeColor="text1"/>
          <w:sz w:val="24"/>
          <w14:textFill>
            <w14:solidFill>
              <w14:schemeClr w14:val="tx1"/>
            </w14:solidFill>
          </w14:textFill>
        </w:rPr>
        <w:t>，本签字人确认资格文件中的说明以及投标文件中所有提交的文件和材料是真实的、准确的。</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1．本签字人确认资格文件中的说明以及投标文件中所有提交的文件和材料是真实的、准确的。</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2．我方的资格声明正本一份，副本四份，电子版一份，随投标文件一同递交。</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(全称并加盖公章)</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投标代表签名：___________________</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附件2－2</w:t>
      </w:r>
    </w:p>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投标人的资格声明</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1．投标人概况：</w:t>
      </w:r>
      <w:r>
        <w:rPr>
          <w:rFonts w:hint="eastAsia" w:asciiTheme="minorEastAsia" w:hAnsiTheme="minorEastAsia" w:eastAsiaTheme="minorEastAsia" w:cstheme="minorEastAsia"/>
          <w:color w:val="000000" w:themeColor="text1"/>
          <w:sz w:val="24"/>
          <w14:textFill>
            <w14:solidFill>
              <w14:schemeClr w14:val="tx1"/>
            </w14:solidFill>
          </w14:textFill>
        </w:rPr>
        <w:cr/>
      </w:r>
      <w:r>
        <w:rPr>
          <w:rFonts w:hint="eastAsia" w:asciiTheme="minorEastAsia" w:hAnsiTheme="minorEastAsia" w:eastAsiaTheme="minorEastAsia" w:cstheme="minorEastAsia"/>
          <w:color w:val="000000" w:themeColor="text1"/>
          <w:sz w:val="24"/>
          <w14:textFill>
            <w14:solidFill>
              <w14:schemeClr w14:val="tx1"/>
            </w14:solidFill>
          </w14:textFill>
        </w:rPr>
        <w:t xml:space="preserve">        A．投标人名称：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cr/>
      </w:r>
      <w:r>
        <w:rPr>
          <w:rFonts w:hint="eastAsia" w:asciiTheme="minorEastAsia" w:hAnsiTheme="minorEastAsia" w:eastAsiaTheme="minorEastAsia" w:cstheme="minorEastAsia"/>
          <w:color w:val="000000" w:themeColor="text1"/>
          <w:sz w:val="24"/>
          <w14:textFill>
            <w14:solidFill>
              <w14:schemeClr w14:val="tx1"/>
            </w14:solidFill>
          </w14:textFill>
        </w:rPr>
        <w:t xml:space="preserve">        B．注册地址：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cr/>
      </w:r>
      <w:r>
        <w:rPr>
          <w:rFonts w:hint="eastAsia" w:asciiTheme="minorEastAsia" w:hAnsiTheme="minorEastAsia" w:eastAsiaTheme="minorEastAsia" w:cstheme="minorEastAsia"/>
          <w:color w:val="000000" w:themeColor="text1"/>
          <w:sz w:val="24"/>
          <w14:textFill>
            <w14:solidFill>
              <w14:schemeClr w14:val="tx1"/>
            </w14:solidFill>
          </w14:textFill>
        </w:rPr>
        <w:t xml:space="preserve">        C．成立或注册日期：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D．法定代表人：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(姓名、职务)</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实收资本：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其中 国家资本：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法人资本：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个人资本：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外商资本：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E．最近资产负债表(到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日为止)。</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(1)固定资产合计：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(2)流动资产合计：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(3)长期负债合计：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(4)流动负债合计：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F．最近损失表(到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日为止)。</w:t>
      </w:r>
    </w:p>
    <w:p>
      <w:pPr>
        <w:ind w:firstLine="960" w:firstLineChars="40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(1)本年(期)利润总额累计：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(2)本年(期)净利润累计：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2．我方在此声明，我方具备并满足下列各项条款的规定。本声明如有虚假或不实之处，我方将失去合格投标人资格且我方的投标保证金将不予退还。</w:t>
      </w:r>
    </w:p>
    <w:p>
      <w:pPr>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(1)具有独立承担民事责任的能力；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(2)具有良好的商业信誉和健全的财务会计制度；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(3)具有履行合同所必需的设备和专业技术能力；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(4)有依法缴纳税收和社会保障资金的良好记录；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(5)近三年内，在经营活动中没有重大违法记录；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3．最近三年投标货物在国内主要用户的名称和地址：</w:t>
      </w:r>
    </w:p>
    <w:tbl>
      <w:tblPr>
        <w:tblStyle w:val="29"/>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144"/>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用户名称</w:t>
            </w: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销售货物名称、规格</w:t>
            </w: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交货日期</w:t>
            </w: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 法人营业执照、税务登记证见下附件。</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5、招标文件投标人须知前附表第2项要求提供的其他资格证明文件。</w:t>
      </w:r>
    </w:p>
    <w:p>
      <w:pPr>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就我方全部所知，兹证明上述声明是真实、正确的，并已提供了全部现有资料和数据，我方同意根据贵方要求出示文件予以证实。</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日</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附件2－3</w:t>
      </w:r>
    </w:p>
    <w:p>
      <w:pPr>
        <w:spacing w:line="300" w:lineRule="auto"/>
        <w:ind w:right="48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法定代表人授权书</w:t>
      </w:r>
    </w:p>
    <w:p>
      <w:pPr>
        <w:pStyle w:val="64"/>
        <w:tabs>
          <w:tab w:val="clear" w:pos="1740"/>
        </w:tabs>
        <w:adjustRightInd/>
        <w:spacing w:before="0" w:line="300" w:lineRule="auto"/>
        <w:ind w:left="0" w:firstLine="0"/>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pStyle w:val="18"/>
        <w:snapToGrid w:val="0"/>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(投标人全称)</w:t>
      </w:r>
      <w:r>
        <w:rPr>
          <w:rFonts w:hint="eastAsia" w:asciiTheme="minorEastAsia" w:hAnsiTheme="minorEastAsia" w:eastAsiaTheme="minorEastAsia" w:cstheme="minorEastAsia"/>
          <w:color w:val="000000" w:themeColor="text1"/>
          <w:sz w:val="24"/>
          <w14:textFill>
            <w14:solidFill>
              <w14:schemeClr w14:val="tx1"/>
            </w14:solidFill>
          </w14:textFill>
        </w:rPr>
        <w:t>法定代表人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授权</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(投标代表姓名)</w:t>
      </w:r>
      <w:r>
        <w:rPr>
          <w:rFonts w:hint="eastAsia" w:asciiTheme="minorEastAsia" w:hAnsiTheme="minorEastAsia" w:eastAsiaTheme="minorEastAsia" w:cstheme="minorEastAsia"/>
          <w:color w:val="000000" w:themeColor="text1"/>
          <w:sz w:val="24"/>
          <w14:textFill>
            <w14:solidFill>
              <w14:schemeClr w14:val="tx1"/>
            </w14:solidFill>
          </w14:textFill>
        </w:rPr>
        <w:t>为投标代表，代表本公司参加贵司组织的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项目(招标编号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pPr>
        <w:pStyle w:val="18"/>
        <w:snapToGrid w:val="0"/>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特此授权！本授权书自出具之日起生效。</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性别：</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身份证号：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部门：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详细通讯地址：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邮政编码：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附：法人身份证及被授权人身份证复印件（正、反面）</w:t>
      </w:r>
    </w:p>
    <w:tbl>
      <w:tblPr>
        <w:tblStyle w:val="29"/>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8"/>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trPr>
        <w:tc>
          <w:tcPr>
            <w:tcW w:w="4738" w:type="dxa"/>
            <w:vAlign w:val="center"/>
          </w:tcPr>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法人身份证复印件粘贴处</w:t>
            </w:r>
          </w:p>
        </w:tc>
        <w:tc>
          <w:tcPr>
            <w:tcW w:w="4738" w:type="dxa"/>
            <w:vAlign w:val="center"/>
          </w:tcPr>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被授权人身份证复印件粘贴处</w:t>
            </w:r>
          </w:p>
        </w:tc>
      </w:tr>
    </w:tbl>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附件2－4</w:t>
      </w:r>
    </w:p>
    <w:p>
      <w:pPr>
        <w:spacing w:line="360" w:lineRule="auto"/>
        <w:ind w:right="48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法人营业执照、税务登记证、组织代码证或三证合一</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现附上由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(签发机关名称)签发的我方法人</w:t>
      </w:r>
      <w:r>
        <w:rPr>
          <w:rFonts w:hint="eastAsia" w:asciiTheme="minorEastAsia" w:hAnsiTheme="minorEastAsia" w:eastAsiaTheme="minorEastAsia" w:cstheme="minorEastAsia"/>
          <w:b/>
          <w:color w:val="000000" w:themeColor="text1"/>
          <w:sz w:val="24"/>
          <w14:textFill>
            <w14:solidFill>
              <w14:schemeClr w14:val="tx1"/>
            </w14:solidFill>
          </w14:textFill>
        </w:rPr>
        <w:t>营业执照</w:t>
      </w:r>
      <w:r>
        <w:rPr>
          <w:rFonts w:hint="eastAsia" w:asciiTheme="minorEastAsia" w:hAnsiTheme="minorEastAsia" w:eastAsiaTheme="minorEastAsia" w:cstheme="minorEastAsia"/>
          <w:color w:val="000000" w:themeColor="text1"/>
          <w:sz w:val="24"/>
          <w14:textFill>
            <w14:solidFill>
              <w14:schemeClr w14:val="tx1"/>
            </w14:solidFill>
          </w14:textFill>
        </w:rPr>
        <w:t>副本复印件，该执照真实有效。</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现附上由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(签发机关名称)签发的我方</w:t>
      </w:r>
      <w:r>
        <w:rPr>
          <w:rFonts w:hint="eastAsia" w:asciiTheme="minorEastAsia" w:hAnsiTheme="minorEastAsia" w:eastAsiaTheme="minorEastAsia" w:cstheme="minorEastAsia"/>
          <w:b/>
          <w:color w:val="000000" w:themeColor="text1"/>
          <w:sz w:val="24"/>
          <w14:textFill>
            <w14:solidFill>
              <w14:schemeClr w14:val="tx1"/>
            </w14:solidFill>
          </w14:textFill>
        </w:rPr>
        <w:t>税务登记证</w:t>
      </w:r>
      <w:r>
        <w:rPr>
          <w:rFonts w:hint="eastAsia" w:asciiTheme="minorEastAsia" w:hAnsiTheme="minorEastAsia" w:eastAsiaTheme="minorEastAsia" w:cstheme="minorEastAsia"/>
          <w:color w:val="000000" w:themeColor="text1"/>
          <w:sz w:val="24"/>
          <w14:textFill>
            <w14:solidFill>
              <w14:schemeClr w14:val="tx1"/>
            </w14:solidFill>
          </w14:textFill>
        </w:rPr>
        <w:t>副本复印件，该证件真实有效。</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现附上由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(签发机关名称)签发的我方</w:t>
      </w:r>
      <w:r>
        <w:rPr>
          <w:rFonts w:hint="eastAsia" w:asciiTheme="minorEastAsia" w:hAnsiTheme="minorEastAsia" w:eastAsiaTheme="minorEastAsia" w:cstheme="minorEastAsia"/>
          <w:b/>
          <w:color w:val="000000" w:themeColor="text1"/>
          <w:sz w:val="24"/>
          <w14:textFill>
            <w14:solidFill>
              <w14:schemeClr w14:val="tx1"/>
            </w14:solidFill>
          </w14:textFill>
        </w:rPr>
        <w:t>组织代码证</w:t>
      </w:r>
      <w:r>
        <w:rPr>
          <w:rFonts w:hint="eastAsia" w:asciiTheme="minorEastAsia" w:hAnsiTheme="minorEastAsia" w:eastAsiaTheme="minorEastAsia" w:cstheme="minorEastAsia"/>
          <w:color w:val="000000" w:themeColor="text1"/>
          <w:sz w:val="24"/>
          <w14:textFill>
            <w14:solidFill>
              <w14:schemeClr w14:val="tx1"/>
            </w14:solidFill>
          </w14:textFill>
        </w:rPr>
        <w:t>复印件，该证件真实有效。</w:t>
      </w:r>
    </w:p>
    <w:p>
      <w:pPr>
        <w:pStyle w:val="16"/>
        <w:spacing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(注：法人营业执照、税务登记证、组织代码证或三证合一等相关证明文件提供复印件，需复印包括能说明合格的内容，由企业加盖公章并注明复印件与原件一致。)</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 标 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2880" w:firstLineChars="1200"/>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附件2－5</w:t>
      </w:r>
    </w:p>
    <w:p>
      <w:pPr>
        <w:widowControl/>
        <w:spacing w:line="360" w:lineRule="auto"/>
        <w:ind w:firstLine="482" w:firstLineChars="200"/>
        <w:jc w:val="left"/>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财务状况报告{投标人须提供(上一年度经审计的财务报告(包括资产负债表、利润表、现金流量表)或其基本开户银行出具的资信证明。(提供资信证明的应附投标人开户许可证复印件)、依法缴纳税收和依法缴纳社保资金的证明材料，投标人依法免税或不需要缴纳社保资金的应提供证明。</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附件2－6</w:t>
      </w:r>
    </w:p>
    <w:p>
      <w:pPr>
        <w:widowControl/>
        <w:spacing w:line="360" w:lineRule="auto"/>
        <w:jc w:val="center"/>
        <w:rPr>
          <w:rFonts w:hint="eastAsia" w:asciiTheme="minorEastAsia" w:hAnsiTheme="minorEastAsia" w:eastAsiaTheme="minorEastAsia" w:cs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投标人提供自身无行贿犯罪记录的说明或承诺函</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附件2－7</w:t>
      </w:r>
    </w:p>
    <w:p>
      <w:pPr>
        <w:widowControl/>
        <w:spacing w:before="75" w:after="75" w:line="276" w:lineRule="auto"/>
        <w:jc w:val="center"/>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具备履行合同所必需的设备和专业技术能力的声明函。</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附件3</w:t>
      </w:r>
    </w:p>
    <w:p>
      <w:pPr>
        <w:pStyle w:val="27"/>
        <w:widowControl/>
        <w:spacing w:before="100" w:beforeAutospacing="1" w:after="100" w:afterAutospacing="1" w:line="300" w:lineRule="exact"/>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Style w:val="32"/>
          <w:rFonts w:hint="eastAsia" w:asciiTheme="minorEastAsia" w:hAnsiTheme="minorEastAsia" w:eastAsiaTheme="minorEastAsia" w:cstheme="minorEastAsia"/>
          <w:color w:val="000000" w:themeColor="text1"/>
          <w:sz w:val="28"/>
          <w:szCs w:val="28"/>
          <w14:textFill>
            <w14:solidFill>
              <w14:schemeClr w14:val="tx1"/>
            </w14:solidFill>
          </w14:textFill>
        </w:rPr>
        <w:t>投标保证金</w:t>
      </w:r>
    </w:p>
    <w:p>
      <w:pPr>
        <w:pStyle w:val="27"/>
        <w:widowControl/>
        <w:spacing w:before="100" w:beforeAutospacing="1" w:after="100" w:afterAutospacing="1" w:line="3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编制说明</w:t>
      </w:r>
    </w:p>
    <w:p>
      <w:pPr>
        <w:pStyle w:val="27"/>
        <w:widowControl/>
        <w:spacing w:before="100" w:beforeAutospacing="1" w:after="100" w:afterAutospacing="1" w:line="3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1、在此项下提交的</w:t>
      </w:r>
      <w:r>
        <w:rPr>
          <w:rStyle w:val="32"/>
          <w:rFonts w:hint="eastAsia" w:asciiTheme="minorEastAsia" w:hAnsiTheme="minorEastAsia" w:eastAsiaTheme="minorEastAsia" w:cstheme="minorEastAsia"/>
          <w:color w:val="000000" w:themeColor="text1"/>
          <w14:textFill>
            <w14:solidFill>
              <w14:schemeClr w14:val="tx1"/>
            </w14:solidFill>
          </w14:textFill>
        </w:rPr>
        <w:t>“投标保证金”</w:t>
      </w:r>
      <w:r>
        <w:rPr>
          <w:rFonts w:hint="eastAsia" w:asciiTheme="minorEastAsia" w:hAnsiTheme="minorEastAsia" w:eastAsiaTheme="minorEastAsia" w:cstheme="minorEastAsia"/>
          <w:color w:val="000000" w:themeColor="text1"/>
          <w14:textFill>
            <w14:solidFill>
              <w14:schemeClr w14:val="tx1"/>
            </w14:solidFill>
          </w14:textFill>
        </w:rPr>
        <w:t>材料可使用转账凭证复印件有关原始页面的打印件。</w:t>
      </w:r>
    </w:p>
    <w:p>
      <w:pPr>
        <w:pStyle w:val="27"/>
        <w:widowControl/>
        <w:spacing w:before="100" w:beforeAutospacing="1" w:after="100" w:afterAutospacing="1" w:line="3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2、投标保证金是否已提交的认定按照招标文件第二章规定执行。</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投 标 文 件</w:t>
      </w: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(封面)</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（三）技术商务部分</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项目名称：</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招标编号：</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(正本/副本)</w:t>
      </w: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投标人名称 ：</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法定代表人姓名：</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地址：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邮编：</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315" w:firstLineChars="98"/>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电话：</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传真：</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网址：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电子邮箱：</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投标代表(印刷体)：</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签字：</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手机：</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 ：20</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00" w:lineRule="auto"/>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p>
    <w:p>
      <w:pPr>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exact"/>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附件1</w:t>
      </w:r>
    </w:p>
    <w:p>
      <w:pPr>
        <w:snapToGrid w:val="0"/>
        <w:spacing w:line="30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货物说明一览表</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29"/>
        <w:tblW w:w="9350"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53"/>
        <w:gridCol w:w="1266"/>
        <w:gridCol w:w="1333"/>
        <w:gridCol w:w="1021"/>
        <w:gridCol w:w="1887"/>
        <w:gridCol w:w="259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53"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合同包/</w:t>
            </w:r>
          </w:p>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品目号</w:t>
            </w:r>
          </w:p>
        </w:tc>
        <w:tc>
          <w:tcPr>
            <w:tcW w:w="1266"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333"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1021"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87"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品牌型号规格</w:t>
            </w:r>
          </w:p>
        </w:tc>
        <w:tc>
          <w:tcPr>
            <w:tcW w:w="2590"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350" w:type="dxa"/>
            <w:gridSpan w:val="6"/>
            <w:tcBorders>
              <w:top w:val="single" w:color="auto" w:sz="6" w:space="0"/>
            </w:tcBorders>
            <w:vAlign w:val="center"/>
          </w:tcPr>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详细配置、技术参数与性能说明：</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注：投标人应写明投标所有货物的详细配置、技术参数与性能等。</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77" w:firstLineChars="199"/>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(全称并加盖公章)      </w:t>
      </w:r>
    </w:p>
    <w:p>
      <w:pPr>
        <w:spacing w:line="360" w:lineRule="auto"/>
        <w:ind w:firstLine="477" w:firstLineChars="19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投标人代表签名：___________________</w:t>
      </w:r>
    </w:p>
    <w:p>
      <w:pPr>
        <w:spacing w:line="360" w:lineRule="auto"/>
        <w:ind w:firstLine="477" w:firstLineChars="199"/>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ind w:firstLine="477" w:firstLineChars="199"/>
        <w:rPr>
          <w:rFonts w:hint="eastAsia" w:asciiTheme="minorEastAsia" w:hAnsiTheme="minorEastAsia" w:eastAsiaTheme="minorEastAsia" w:cstheme="minorEastAsia"/>
          <w:color w:val="000000" w:themeColor="text1"/>
          <w:sz w:val="24"/>
          <w:u w:val="single"/>
          <w14:textFill>
            <w14:solidFill>
              <w14:schemeClr w14:val="tx1"/>
            </w14:solidFill>
          </w14:textFill>
        </w:rPr>
        <w:sectPr>
          <w:headerReference r:id="rId3" w:type="default"/>
          <w:footerReference r:id="rId4" w:type="default"/>
          <w:pgSz w:w="11907" w:h="16840"/>
          <w:pgMar w:top="1440" w:right="758" w:bottom="1440" w:left="849" w:header="851" w:footer="992" w:gutter="0"/>
          <w:cols w:space="720" w:num="1"/>
          <w:docGrid w:linePitch="312" w:charSpace="0"/>
        </w:sectPr>
      </w:pPr>
    </w:p>
    <w:p>
      <w:pPr>
        <w:pStyle w:val="72"/>
        <w:snapToGrid w:val="0"/>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p>
    <w:p>
      <w:pPr>
        <w:pStyle w:val="72"/>
        <w:snapToGrid w:val="0"/>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w:t>
      </w:r>
    </w:p>
    <w:p>
      <w:pPr>
        <w:pStyle w:val="72"/>
        <w:snapToGrid w:val="0"/>
        <w:jc w:val="center"/>
        <w:outlineLvl w:val="9"/>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供货范围清单</w:t>
      </w:r>
    </w:p>
    <w:p>
      <w:pPr>
        <w:pStyle w:val="72"/>
        <w:snapToGrid w:val="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说明：</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本清单应列明组成货物的主要件和关键件的名称、数量、原产地；</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本清单应列明专用工具的名称、数量、原产地（如果有的话）；</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本清单应列明备品备件的名称、数量、原产地（如果有的话）。</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ab/>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72"/>
        <w:snapToGrid w:val="0"/>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附件3</w:t>
      </w:r>
    </w:p>
    <w:p>
      <w:pPr>
        <w:spacing w:line="30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技术规格偏离表</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29"/>
        <w:tblW w:w="999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
      <w:tblGrid>
        <w:gridCol w:w="754"/>
        <w:gridCol w:w="1362"/>
        <w:gridCol w:w="1971"/>
        <w:gridCol w:w="1362"/>
        <w:gridCol w:w="2579"/>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trHeight w:val="664" w:hRule="atLeast"/>
          <w:tblHeader/>
        </w:trPr>
        <w:tc>
          <w:tcPr>
            <w:tcW w:w="754"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362"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1971"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招标文件要求</w:t>
            </w:r>
          </w:p>
        </w:tc>
        <w:tc>
          <w:tcPr>
            <w:tcW w:w="1362"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投标响应</w:t>
            </w:r>
          </w:p>
        </w:tc>
        <w:tc>
          <w:tcPr>
            <w:tcW w:w="2579"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正偏离还是负偏离</w:t>
            </w:r>
          </w:p>
        </w:tc>
        <w:tc>
          <w:tcPr>
            <w:tcW w:w="1969"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偏离详细说明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tcBorders>
              <w:top w:val="single" w:color="auto" w:sz="6" w:space="0"/>
            </w:tcBorders>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w:t>
            </w:r>
          </w:p>
        </w:tc>
        <w:tc>
          <w:tcPr>
            <w:tcW w:w="1362" w:type="dxa"/>
            <w:tcBorders>
              <w:top w:val="single" w:color="auto" w:sz="6" w:space="0"/>
            </w:tcBorders>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2</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3</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4</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5</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6</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7</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8</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9</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10</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11</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12</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13</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注：投标人提交的投标文件中与招标文件的技术部分的要求有不同时，应逐条列在偏离表中，否则将认为投标人接受招标文件的要求。</w:t>
      </w:r>
    </w:p>
    <w:p>
      <w:pPr>
        <w:spacing w:line="36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 (全称并加盖公章)：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sectPr>
          <w:pgSz w:w="11907" w:h="16840"/>
          <w:pgMar w:top="1440" w:right="1247" w:bottom="1440" w:left="777" w:header="851" w:footer="992" w:gutter="0"/>
          <w:cols w:space="720" w:num="1"/>
          <w:docGrid w:linePitch="312" w:charSpace="0"/>
        </w:sect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附件4</w:t>
      </w:r>
    </w:p>
    <w:p>
      <w:pPr>
        <w:spacing w:line="300"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商务偏离表</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29"/>
        <w:tblW w:w="934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
      <w:tblGrid>
        <w:gridCol w:w="704"/>
        <w:gridCol w:w="1273"/>
        <w:gridCol w:w="1841"/>
        <w:gridCol w:w="1273"/>
        <w:gridCol w:w="2409"/>
        <w:gridCol w:w="18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trHeight w:val="700" w:hRule="atLeast"/>
          <w:tblHeader/>
        </w:trPr>
        <w:tc>
          <w:tcPr>
            <w:tcW w:w="704"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273"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1841"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招标文件要求</w:t>
            </w:r>
          </w:p>
        </w:tc>
        <w:tc>
          <w:tcPr>
            <w:tcW w:w="1273"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投标响应</w:t>
            </w:r>
          </w:p>
        </w:tc>
        <w:tc>
          <w:tcPr>
            <w:tcW w:w="2409"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正偏离还是负偏离</w:t>
            </w:r>
          </w:p>
        </w:tc>
        <w:tc>
          <w:tcPr>
            <w:tcW w:w="1840"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偏离详细说明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tcBorders>
              <w:top w:val="single" w:color="auto" w:sz="6" w:space="0"/>
            </w:tcBorders>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w:t>
            </w:r>
          </w:p>
        </w:tc>
        <w:tc>
          <w:tcPr>
            <w:tcW w:w="1273" w:type="dxa"/>
            <w:tcBorders>
              <w:top w:val="single" w:color="auto" w:sz="6" w:space="0"/>
            </w:tcBorders>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2</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3</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4</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5</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6</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7</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8</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9</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10</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11</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12</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Ex>
        <w:trPr>
          <w:cantSplit/>
          <w:trHeight w:val="435"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13</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注：投标人提交的投标文件中与招标文件的商务部分的要求有不同时，应逐条列在偏离表中，否则将认为投标人接受招标文件的要求。</w:t>
      </w:r>
    </w:p>
    <w:p>
      <w:pPr>
        <w:spacing w:line="36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 (全称并加盖公章)：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w:t>
      </w: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附件5</w:t>
      </w:r>
    </w:p>
    <w:p>
      <w:pPr>
        <w:spacing w:line="300" w:lineRule="auto"/>
        <w:ind w:right="480"/>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招标服务费承诺书</w:t>
      </w:r>
    </w:p>
    <w:p>
      <w:pPr>
        <w:spacing w:line="360" w:lineRule="auto"/>
        <w:ind w:right="48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我们在贵公司组织的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项目招标中投标(招标编号：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)，如获中标，我们保证按招标文件的规定，以支票、汇票、电汇、现金或经贵公司认可的其他付款方式，向贵公司缴交招标服务费。</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我方如违反上述承诺，所提交的上述项目的投标保证金将不予退还我方，并在我方货款中扣除招标服务费，我方对此无异议。</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特此承诺！</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投标人(全称并加盖公章)：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3360" w:firstLineChars="14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附件6</w:t>
      </w:r>
    </w:p>
    <w:p>
      <w:pPr>
        <w:spacing w:line="360" w:lineRule="auto"/>
        <w:ind w:right="480"/>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退回保证金说明函</w:t>
      </w:r>
    </w:p>
    <w:p>
      <w:pPr>
        <w:pStyle w:val="19"/>
        <w:tabs>
          <w:tab w:val="left" w:pos="900"/>
        </w:tabs>
        <w:spacing w:line="360" w:lineRule="auto"/>
        <w:ind w:left="86" w:leftChars="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(招标代理人)        </w:t>
      </w:r>
    </w:p>
    <w:p>
      <w:pPr>
        <w:spacing w:line="360" w:lineRule="auto"/>
        <w:ind w:firstLine="477" w:firstLineChars="199"/>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我方参与招标编号为</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的</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(项目名称)</w:t>
      </w:r>
      <w:r>
        <w:rPr>
          <w:rFonts w:hint="eastAsia" w:asciiTheme="minorEastAsia" w:hAnsiTheme="minorEastAsia" w:eastAsiaTheme="minorEastAsia" w:cstheme="minorEastAsia"/>
          <w:bCs/>
          <w:color w:val="000000" w:themeColor="text1"/>
          <w:sz w:val="24"/>
          <w14:textFill>
            <w14:solidFill>
              <w14:schemeClr w14:val="tx1"/>
            </w14:solidFill>
          </w14:textFill>
        </w:rPr>
        <w:t>提供的人民币</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元保证金，当可以退回时，请退回到我公司以下账户：</w:t>
      </w:r>
    </w:p>
    <w:p>
      <w:pPr>
        <w:numPr>
          <w:ilvl w:val="1"/>
          <w:numId w:val="11"/>
        </w:numPr>
        <w:adjustRightInd w:val="0"/>
        <w:spacing w:line="360" w:lineRule="auto"/>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开户名：</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11"/>
        </w:numPr>
        <w:adjustRightInd w:val="0"/>
        <w:spacing w:line="360" w:lineRule="auto"/>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开户行：</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11"/>
        </w:numPr>
        <w:adjustRightInd w:val="0"/>
        <w:spacing w:line="360" w:lineRule="auto"/>
        <w:textAlignment w:val="baseline"/>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帐  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479" w:firstLineChars="19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附：我方缴纳投标保证金时的银行回单</w:t>
      </w:r>
    </w:p>
    <w:p>
      <w:pPr>
        <w:spacing w:line="360" w:lineRule="auto"/>
        <w:ind w:firstLine="479" w:firstLineChars="199"/>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ind w:firstLine="479" w:firstLineChars="199"/>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(全称并加盖公章)</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投标代表签名：___________________日 期：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附件7</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招标文件和法律法规要求提交的其他文件</w:t>
      </w: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ind w:firstLine="1200" w:firstLineChars="500"/>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投标人认为应提交的其他材料, 可在此附件中提交。</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pacing w:line="3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spacing w:line="380" w:lineRule="exact"/>
        <w:rPr>
          <w:rFonts w:hint="eastAsia" w:asciiTheme="minorEastAsia" w:hAnsiTheme="minorEastAsia" w:eastAsiaTheme="minorEastAsia" w:cstheme="minorEastAsia"/>
          <w:color w:val="000000" w:themeColor="text1"/>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spacing w:line="380" w:lineRule="exact"/>
        <w:ind w:firstLine="3120" w:firstLineChars="1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 标 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投标人代表签字：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附件8</w:t>
      </w:r>
    </w:p>
    <w:p>
      <w:pPr>
        <w:spacing w:line="700" w:lineRule="exact"/>
        <w:ind w:right="42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制作投标文件标准装订范本</w:t>
      </w:r>
    </w:p>
    <w:p>
      <w:pPr>
        <w:spacing w:line="360" w:lineRule="auto"/>
        <w:jc w:val="cente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drawing>
          <wp:inline distT="0" distB="0" distL="114300" distR="114300">
            <wp:extent cx="4135755" cy="2891790"/>
            <wp:effectExtent l="0" t="0" r="17145" b="3810"/>
            <wp:docPr id="3" name="图片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标书"/>
                    <pic:cNvPicPr>
                      <a:picLocks noChangeAspect="1"/>
                    </pic:cNvPicPr>
                  </pic:nvPicPr>
                  <pic:blipFill>
                    <a:blip r:embed="rId8">
                      <a:lum bright="-11993"/>
                    </a:blip>
                    <a:stretch>
                      <a:fillRect/>
                    </a:stretch>
                  </pic:blipFill>
                  <pic:spPr>
                    <a:xfrm>
                      <a:off x="0" y="0"/>
                      <a:ext cx="4135755" cy="2891790"/>
                    </a:xfrm>
                    <a:prstGeom prst="rect">
                      <a:avLst/>
                    </a:prstGeom>
                    <a:noFill/>
                    <a:ln>
                      <a:noFill/>
                    </a:ln>
                  </pic:spPr>
                </pic:pic>
              </a:graphicData>
            </a:graphic>
          </wp:inline>
        </w:drawing>
      </w:r>
    </w:p>
    <w:p>
      <w:pPr>
        <w:spacing w:line="30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pPr>
    </w:p>
    <w:sectPr>
      <w:headerReference r:id="rId5" w:type="default"/>
      <w:footerReference r:id="rId6" w:type="default"/>
      <w:pgSz w:w="11907" w:h="16840"/>
      <w:pgMar w:top="1111" w:right="978" w:bottom="1049" w:left="1269" w:header="471" w:footer="55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-70485</wp:posOffset>
              </wp:positionV>
              <wp:extent cx="532638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15pt;margin-top:-5.55pt;height:0.1pt;width:419.4pt;z-index:251659264;mso-width-relative:page;mso-height-relative:page;" filled="f" stroked="t" coordsize="21600,21600" o:gfxdata="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MlYtgAAAALAQAA&#10;DwAAAAAAAAABACAAAAAiAAAAZHJzL2Rvd25yZXYueG1sUEsBAhQAFAAAAAgAh07iQOKIldjgAQAA&#10;mQMAAA4AAAAAAAAAAQAgAAAAJwEAAGRycy9lMm9Eb2MueG1sUEsFBgAAAAAGAAYAWQEAAHkFAAAA&#10;AA==&#10;">
              <v:fill on="f" focussize="0,0"/>
              <v:stroke color="#000000" joinstyle="round"/>
              <v:imagedata o:title=""/>
              <o:lock v:ext="edit" aspectratio="f"/>
            </v:line>
          </w:pict>
        </mc:Fallback>
      </mc:AlternateContent>
    </w:r>
    <w:r>
      <w:rPr>
        <w:rStyle w:val="33"/>
        <w:rFonts w:hint="eastAsia" w:ascii="宋体" w:hAnsi="宋体"/>
        <w:sz w:val="21"/>
        <w:szCs w:val="21"/>
      </w:rPr>
      <w:t>第</w:t>
    </w:r>
    <w:r>
      <w:rPr>
        <w:rFonts w:hint="eastAsia" w:ascii="宋体" w:hAnsi="宋体"/>
        <w:sz w:val="21"/>
        <w:szCs w:val="21"/>
      </w:rPr>
      <w:fldChar w:fldCharType="begin"/>
    </w:r>
    <w:r>
      <w:rPr>
        <w:rStyle w:val="33"/>
        <w:rFonts w:hint="eastAsia" w:ascii="宋体" w:hAnsi="宋体"/>
        <w:sz w:val="21"/>
        <w:szCs w:val="21"/>
      </w:rPr>
      <w:instrText xml:space="preserve"> PAGE </w:instrText>
    </w:r>
    <w:r>
      <w:rPr>
        <w:rFonts w:hint="eastAsia" w:ascii="宋体" w:hAnsi="宋体"/>
        <w:sz w:val="21"/>
        <w:szCs w:val="21"/>
      </w:rPr>
      <w:fldChar w:fldCharType="separate"/>
    </w:r>
    <w:r>
      <w:rPr>
        <w:rStyle w:val="33"/>
        <w:rFonts w:ascii="宋体" w:hAnsi="宋体"/>
        <w:sz w:val="21"/>
        <w:szCs w:val="21"/>
      </w:rPr>
      <w:t>21</w:t>
    </w:r>
    <w:r>
      <w:rPr>
        <w:rFonts w:hint="eastAsia" w:ascii="宋体" w:hAnsi="宋体"/>
        <w:sz w:val="21"/>
        <w:szCs w:val="21"/>
      </w:rPr>
      <w:fldChar w:fldCharType="end"/>
    </w:r>
    <w:r>
      <w:rPr>
        <w:rStyle w:val="33"/>
        <w:rFonts w:hint="eastAsia" w:ascii="宋体" w:hAnsi="宋体"/>
        <w:sz w:val="21"/>
        <w:szCs w:val="21"/>
      </w:rPr>
      <w:t>页，共</w:t>
    </w:r>
    <w:r>
      <w:rPr>
        <w:rFonts w:hint="eastAsia" w:ascii="宋体" w:hAnsi="宋体"/>
        <w:sz w:val="21"/>
        <w:szCs w:val="21"/>
      </w:rPr>
      <w:fldChar w:fldCharType="begin"/>
    </w:r>
    <w:r>
      <w:rPr>
        <w:rStyle w:val="33"/>
        <w:rFonts w:hint="eastAsia" w:ascii="宋体" w:hAnsi="宋体"/>
        <w:sz w:val="21"/>
        <w:szCs w:val="21"/>
      </w:rPr>
      <w:instrText xml:space="preserve"> NUMPAGES </w:instrText>
    </w:r>
    <w:r>
      <w:rPr>
        <w:rFonts w:hint="eastAsia" w:ascii="宋体" w:hAnsi="宋体"/>
        <w:sz w:val="21"/>
        <w:szCs w:val="21"/>
      </w:rPr>
      <w:fldChar w:fldCharType="separate"/>
    </w:r>
    <w:r>
      <w:rPr>
        <w:rStyle w:val="33"/>
        <w:rFonts w:ascii="宋体" w:hAnsi="宋体"/>
        <w:sz w:val="21"/>
        <w:szCs w:val="21"/>
      </w:rPr>
      <w:t>54</w:t>
    </w:r>
    <w:r>
      <w:rPr>
        <w:rFonts w:hint="eastAsia" w:ascii="宋体" w:hAnsi="宋体"/>
        <w:sz w:val="21"/>
        <w:szCs w:val="21"/>
      </w:rPr>
      <w:fldChar w:fldCharType="end"/>
    </w:r>
    <w:r>
      <w:rPr>
        <w:rStyle w:val="33"/>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楷体_GB2312" w:hAnsi="宋体" w:eastAsia="楷体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posOffset>2660650</wp:posOffset>
              </wp:positionH>
              <wp:positionV relativeFrom="paragraph">
                <wp:posOffset>-101600</wp:posOffset>
              </wp:positionV>
              <wp:extent cx="1170940" cy="266700"/>
              <wp:effectExtent l="3175" t="3175"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70940" cy="266700"/>
                      </a:xfrm>
                      <a:prstGeom prst="rect">
                        <a:avLst/>
                      </a:prstGeom>
                      <a:noFill/>
                      <a:ln>
                        <a:noFill/>
                      </a:ln>
                    </wps:spPr>
                    <wps:txbx>
                      <w:txbxContent>
                        <w:p>
                          <w:pPr>
                            <w:pStyle w:val="22"/>
                            <w:jc w:val="center"/>
                          </w:pPr>
                          <w:r>
                            <w:rPr>
                              <w:rStyle w:val="33"/>
                              <w:rFonts w:hint="eastAsia" w:ascii="楷体_GB2312" w:hAnsi="宋体" w:eastAsia="楷体_GB2312"/>
                              <w:sz w:val="21"/>
                              <w:szCs w:val="21"/>
                            </w:rPr>
                            <w:t>第</w:t>
                          </w:r>
                          <w:r>
                            <w:rPr>
                              <w:rFonts w:hint="eastAsia" w:ascii="楷体_GB2312" w:hAnsi="宋体" w:eastAsia="楷体_GB2312"/>
                              <w:sz w:val="21"/>
                              <w:szCs w:val="21"/>
                            </w:rPr>
                            <w:fldChar w:fldCharType="begin"/>
                          </w:r>
                          <w:r>
                            <w:rPr>
                              <w:rStyle w:val="33"/>
                              <w:rFonts w:hint="eastAsia" w:ascii="楷体_GB2312" w:hAnsi="宋体" w:eastAsia="楷体_GB2312"/>
                              <w:sz w:val="21"/>
                              <w:szCs w:val="21"/>
                            </w:rPr>
                            <w:instrText xml:space="preserve"> PAGE </w:instrText>
                          </w:r>
                          <w:r>
                            <w:rPr>
                              <w:rFonts w:hint="eastAsia" w:ascii="楷体_GB2312" w:hAnsi="宋体" w:eastAsia="楷体_GB2312"/>
                              <w:sz w:val="21"/>
                              <w:szCs w:val="21"/>
                            </w:rPr>
                            <w:fldChar w:fldCharType="separate"/>
                          </w:r>
                          <w:r>
                            <w:rPr>
                              <w:rStyle w:val="33"/>
                              <w:rFonts w:ascii="楷体_GB2312" w:hAnsi="宋体" w:eastAsia="楷体_GB2312"/>
                              <w:sz w:val="21"/>
                              <w:szCs w:val="21"/>
                            </w:rPr>
                            <w:t>36</w:t>
                          </w:r>
                          <w:r>
                            <w:rPr>
                              <w:rFonts w:hint="eastAsia" w:ascii="楷体_GB2312" w:hAnsi="宋体" w:eastAsia="楷体_GB2312"/>
                              <w:sz w:val="21"/>
                              <w:szCs w:val="21"/>
                            </w:rPr>
                            <w:fldChar w:fldCharType="end"/>
                          </w:r>
                          <w:r>
                            <w:rPr>
                              <w:rStyle w:val="33"/>
                              <w:rFonts w:hint="eastAsia" w:ascii="楷体_GB2312" w:hAnsi="宋体" w:eastAsia="楷体_GB2312"/>
                              <w:sz w:val="21"/>
                              <w:szCs w:val="21"/>
                            </w:rPr>
                            <w:t>页，共</w:t>
                          </w:r>
                          <w:r>
                            <w:rPr>
                              <w:rFonts w:hint="eastAsia" w:ascii="楷体_GB2312" w:hAnsi="宋体" w:eastAsia="楷体_GB2312"/>
                              <w:sz w:val="21"/>
                              <w:szCs w:val="21"/>
                            </w:rPr>
                            <w:fldChar w:fldCharType="begin"/>
                          </w:r>
                          <w:r>
                            <w:rPr>
                              <w:rStyle w:val="33"/>
                              <w:rFonts w:hint="eastAsia" w:ascii="楷体_GB2312" w:hAnsi="宋体" w:eastAsia="楷体_GB2312"/>
                              <w:sz w:val="21"/>
                              <w:szCs w:val="21"/>
                            </w:rPr>
                            <w:instrText xml:space="preserve"> NUMPAGES </w:instrText>
                          </w:r>
                          <w:r>
                            <w:rPr>
                              <w:rFonts w:hint="eastAsia" w:ascii="楷体_GB2312" w:hAnsi="宋体" w:eastAsia="楷体_GB2312"/>
                              <w:sz w:val="21"/>
                              <w:szCs w:val="21"/>
                            </w:rPr>
                            <w:fldChar w:fldCharType="separate"/>
                          </w:r>
                          <w:r>
                            <w:rPr>
                              <w:rStyle w:val="33"/>
                              <w:rFonts w:ascii="楷体_GB2312" w:hAnsi="宋体" w:eastAsia="楷体_GB2312"/>
                              <w:sz w:val="21"/>
                              <w:szCs w:val="21"/>
                            </w:rPr>
                            <w:t>55</w:t>
                          </w:r>
                          <w:r>
                            <w:rPr>
                              <w:rFonts w:hint="eastAsia" w:ascii="楷体_GB2312" w:hAnsi="宋体" w:eastAsia="楷体_GB2312"/>
                              <w:sz w:val="21"/>
                              <w:szCs w:val="21"/>
                            </w:rPr>
                            <w:fldChar w:fldCharType="end"/>
                          </w:r>
                          <w:r>
                            <w:rPr>
                              <w:rStyle w:val="33"/>
                              <w:rFonts w:hint="eastAsia" w:ascii="楷体_GB2312" w:hAnsi="宋体" w:eastAsia="楷体_GB2312"/>
                              <w:sz w:val="21"/>
                              <w:szCs w:val="21"/>
                            </w:rPr>
                            <w:t>页</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09.5pt;margin-top:-8pt;height:21pt;width:92.2pt;mso-position-horizontal-relative:margin;z-index:251658240;mso-width-relative:page;mso-height-relative:page;" filled="f" stroked="f" coordsize="21600,21600" o:gfxdata="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1s5rZAAAACgEA&#10;AA8AAAAAAAAAAQAgAAAAIgAAAGRycy9kb3ducmV2LnhtbFBLAQIUABQAAAAIAIdO4kDr6QTD4AEA&#10;ALYDAAAOAAAAAAAAAAEAIAAAACgBAABkcnMvZTJvRG9jLnhtbFBLBQYAAAAABgAGAFkBAAB6BQAA&#10;AAA=&#10;">
              <v:fill on="f" focussize="0,0"/>
              <v:stroke on="f"/>
              <v:imagedata o:title=""/>
              <o:lock v:ext="edit" aspectratio="f"/>
              <v:textbox inset="0mm,0mm,0mm,0mm">
                <w:txbxContent>
                  <w:p>
                    <w:pPr>
                      <w:pStyle w:val="22"/>
                      <w:jc w:val="center"/>
                    </w:pPr>
                    <w:r>
                      <w:rPr>
                        <w:rStyle w:val="33"/>
                        <w:rFonts w:hint="eastAsia" w:ascii="楷体_GB2312" w:hAnsi="宋体" w:eastAsia="楷体_GB2312"/>
                        <w:sz w:val="21"/>
                        <w:szCs w:val="21"/>
                      </w:rPr>
                      <w:t>第</w:t>
                    </w:r>
                    <w:r>
                      <w:rPr>
                        <w:rFonts w:hint="eastAsia" w:ascii="楷体_GB2312" w:hAnsi="宋体" w:eastAsia="楷体_GB2312"/>
                        <w:sz w:val="21"/>
                        <w:szCs w:val="21"/>
                      </w:rPr>
                      <w:fldChar w:fldCharType="begin"/>
                    </w:r>
                    <w:r>
                      <w:rPr>
                        <w:rStyle w:val="33"/>
                        <w:rFonts w:hint="eastAsia" w:ascii="楷体_GB2312" w:hAnsi="宋体" w:eastAsia="楷体_GB2312"/>
                        <w:sz w:val="21"/>
                        <w:szCs w:val="21"/>
                      </w:rPr>
                      <w:instrText xml:space="preserve"> PAGE </w:instrText>
                    </w:r>
                    <w:r>
                      <w:rPr>
                        <w:rFonts w:hint="eastAsia" w:ascii="楷体_GB2312" w:hAnsi="宋体" w:eastAsia="楷体_GB2312"/>
                        <w:sz w:val="21"/>
                        <w:szCs w:val="21"/>
                      </w:rPr>
                      <w:fldChar w:fldCharType="separate"/>
                    </w:r>
                    <w:r>
                      <w:rPr>
                        <w:rStyle w:val="33"/>
                        <w:rFonts w:ascii="楷体_GB2312" w:hAnsi="宋体" w:eastAsia="楷体_GB2312"/>
                        <w:sz w:val="21"/>
                        <w:szCs w:val="21"/>
                      </w:rPr>
                      <w:t>36</w:t>
                    </w:r>
                    <w:r>
                      <w:rPr>
                        <w:rFonts w:hint="eastAsia" w:ascii="楷体_GB2312" w:hAnsi="宋体" w:eastAsia="楷体_GB2312"/>
                        <w:sz w:val="21"/>
                        <w:szCs w:val="21"/>
                      </w:rPr>
                      <w:fldChar w:fldCharType="end"/>
                    </w:r>
                    <w:r>
                      <w:rPr>
                        <w:rStyle w:val="33"/>
                        <w:rFonts w:hint="eastAsia" w:ascii="楷体_GB2312" w:hAnsi="宋体" w:eastAsia="楷体_GB2312"/>
                        <w:sz w:val="21"/>
                        <w:szCs w:val="21"/>
                      </w:rPr>
                      <w:t>页，共</w:t>
                    </w:r>
                    <w:r>
                      <w:rPr>
                        <w:rFonts w:hint="eastAsia" w:ascii="楷体_GB2312" w:hAnsi="宋体" w:eastAsia="楷体_GB2312"/>
                        <w:sz w:val="21"/>
                        <w:szCs w:val="21"/>
                      </w:rPr>
                      <w:fldChar w:fldCharType="begin"/>
                    </w:r>
                    <w:r>
                      <w:rPr>
                        <w:rStyle w:val="33"/>
                        <w:rFonts w:hint="eastAsia" w:ascii="楷体_GB2312" w:hAnsi="宋体" w:eastAsia="楷体_GB2312"/>
                        <w:sz w:val="21"/>
                        <w:szCs w:val="21"/>
                      </w:rPr>
                      <w:instrText xml:space="preserve"> NUMPAGES </w:instrText>
                    </w:r>
                    <w:r>
                      <w:rPr>
                        <w:rFonts w:hint="eastAsia" w:ascii="楷体_GB2312" w:hAnsi="宋体" w:eastAsia="楷体_GB2312"/>
                        <w:sz w:val="21"/>
                        <w:szCs w:val="21"/>
                      </w:rPr>
                      <w:fldChar w:fldCharType="separate"/>
                    </w:r>
                    <w:r>
                      <w:rPr>
                        <w:rStyle w:val="33"/>
                        <w:rFonts w:ascii="楷体_GB2312" w:hAnsi="宋体" w:eastAsia="楷体_GB2312"/>
                        <w:sz w:val="21"/>
                        <w:szCs w:val="21"/>
                      </w:rPr>
                      <w:t>55</w:t>
                    </w:r>
                    <w:r>
                      <w:rPr>
                        <w:rFonts w:hint="eastAsia" w:ascii="楷体_GB2312" w:hAnsi="宋体" w:eastAsia="楷体_GB2312"/>
                        <w:sz w:val="21"/>
                        <w:szCs w:val="21"/>
                      </w:rPr>
                      <w:fldChar w:fldCharType="end"/>
                    </w:r>
                    <w:r>
                      <w:rPr>
                        <w:rStyle w:val="33"/>
                        <w:rFonts w:hint="eastAsia" w:ascii="楷体_GB2312" w:hAnsi="宋体" w:eastAsia="楷体_GB2312"/>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ascii="宋体" w:hAnsi="宋体"/>
        <w:sz w:val="21"/>
        <w:szCs w:val="21"/>
      </w:rPr>
    </w:pPr>
    <w:r>
      <w:rPr>
        <w:rFonts w:hint="eastAsia" w:ascii="楷体_GB2312" w:hAnsi="宋体" w:eastAsia="楷体_GB2312"/>
        <w:sz w:val="21"/>
        <w:szCs w:val="21"/>
      </w:rPr>
      <w:t xml:space="preserve">                                          </w:t>
    </w:r>
    <w:r>
      <w:rPr>
        <w:rFonts w:hint="eastAsia" w:ascii="宋体" w:hAnsi="宋体"/>
        <w:sz w:val="21"/>
        <w:szCs w:val="21"/>
      </w:rPr>
      <w:t xml:space="preserve">  福建莆田恒顺招标代理有限公司招标文件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p>
    <w:pPr>
      <w:pStyle w:val="23"/>
      <w:jc w:val="right"/>
      <w:rPr>
        <w:rFonts w:ascii="楷体_GB2312" w:hAnsi="宋体" w:eastAsia="楷体_GB2312"/>
        <w:sz w:val="21"/>
        <w:szCs w:val="21"/>
      </w:rPr>
    </w:pPr>
    <w:r>
      <w:rPr>
        <w:rFonts w:hint="eastAsia"/>
      </w:rPr>
      <w:t xml:space="preserve">           福建莆田恒顺招标代理有限公司公开招标文件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CF627"/>
    <w:multiLevelType w:val="singleLevel"/>
    <w:tmpl w:val="871CF627"/>
    <w:lvl w:ilvl="0" w:tentative="0">
      <w:start w:val="3"/>
      <w:numFmt w:val="chineseCounting"/>
      <w:suff w:val="space"/>
      <w:lvlText w:val="第%1章"/>
      <w:lvlJc w:val="left"/>
      <w:rPr>
        <w:rFonts w:hint="eastAsia"/>
      </w:rPr>
    </w:lvl>
  </w:abstractNum>
  <w:abstractNum w:abstractNumId="1">
    <w:nsid w:val="F01CD2C1"/>
    <w:multiLevelType w:val="singleLevel"/>
    <w:tmpl w:val="F01CD2C1"/>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4">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32B8D34"/>
    <w:multiLevelType w:val="singleLevel"/>
    <w:tmpl w:val="232B8D34"/>
    <w:lvl w:ilvl="0" w:tentative="0">
      <w:start w:val="1"/>
      <w:numFmt w:val="decimal"/>
      <w:suff w:val="nothing"/>
      <w:lvlText w:val="%1、"/>
      <w:lvlJc w:val="left"/>
    </w:lvl>
  </w:abstractNum>
  <w:abstractNum w:abstractNumId="10">
    <w:nsid w:val="2526ED44"/>
    <w:multiLevelType w:val="singleLevel"/>
    <w:tmpl w:val="2526ED44"/>
    <w:lvl w:ilvl="0" w:tentative="0">
      <w:start w:val="2"/>
      <w:numFmt w:val="chineseCounting"/>
      <w:suff w:val="nothing"/>
      <w:lvlText w:val="%1、"/>
      <w:lvlJc w:val="left"/>
      <w:rPr>
        <w:rFonts w:hint="eastAsia"/>
      </w:rPr>
    </w:lvl>
  </w:abstractNum>
  <w:abstractNum w:abstractNumId="11">
    <w:nsid w:val="2D12537E"/>
    <w:multiLevelType w:val="multilevel"/>
    <w:tmpl w:val="2D12537E"/>
    <w:lvl w:ilvl="0" w:tentative="0">
      <w:start w:val="1"/>
      <w:numFmt w:val="decimal"/>
      <w:lvlText w:val="1.%1"/>
      <w:lvlJc w:val="left"/>
      <w:pPr>
        <w:tabs>
          <w:tab w:val="left" w:pos="425"/>
        </w:tabs>
        <w:ind w:left="425" w:hanging="425"/>
      </w:pPr>
      <w:rPr>
        <w:rFonts w:hint="eastAsia"/>
      </w:rPr>
    </w:lvl>
    <w:lvl w:ilvl="1" w:tentative="0">
      <w:start w:val="1"/>
      <w:numFmt w:val="decimal"/>
      <w:lvlText w:val="4.%2"/>
      <w:lvlJc w:val="left"/>
      <w:pPr>
        <w:tabs>
          <w:tab w:val="left" w:pos="1077"/>
        </w:tabs>
        <w:ind w:left="0" w:firstLine="454"/>
      </w:pPr>
      <w:rPr>
        <w:rFonts w:hint="eastAsia" w:ascii="宋体" w:hAnsi="宋体" w:eastAsia="宋体"/>
      </w:rPr>
    </w:lvl>
    <w:lvl w:ilvl="2" w:tentative="0">
      <w:start w:val="1"/>
      <w:numFmt w:val="decimal"/>
      <w:lvlText w:val="3.4.%3"/>
      <w:lvlJc w:val="left"/>
      <w:pPr>
        <w:tabs>
          <w:tab w:val="left" w:pos="1191"/>
        </w:tabs>
        <w:ind w:left="0" w:firstLine="454"/>
      </w:pPr>
      <w:rPr>
        <w:rFonts w:hint="eastAsia" w:ascii="宋体" w:hAnsi="宋体" w:eastAsia="宋体"/>
      </w:rPr>
    </w:lvl>
    <w:lvl w:ilvl="3" w:tentative="0">
      <w:start w:val="1"/>
      <w:numFmt w:val="decimal"/>
      <w:lvlText w:val="%1.%2.%3.%4"/>
      <w:lvlJc w:val="left"/>
      <w:pPr>
        <w:tabs>
          <w:tab w:val="left" w:pos="1191"/>
        </w:tabs>
        <w:ind w:left="0" w:firstLine="454"/>
      </w:pPr>
      <w:rPr>
        <w:rFonts w:hint="eastAsia" w:ascii="宋体" w:eastAsia="宋体"/>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0BE7911"/>
    <w:multiLevelType w:val="singleLevel"/>
    <w:tmpl w:val="30BE7911"/>
    <w:lvl w:ilvl="0" w:tentative="0">
      <w:start w:val="6"/>
      <w:numFmt w:val="decimal"/>
      <w:suff w:val="nothing"/>
      <w:lvlText w:val="%1、"/>
      <w:lvlJc w:val="left"/>
    </w:lvl>
  </w:abstractNum>
  <w:abstractNum w:abstractNumId="13">
    <w:nsid w:val="445F23BE"/>
    <w:multiLevelType w:val="multilevel"/>
    <w:tmpl w:val="445F23BE"/>
    <w:lvl w:ilvl="0" w:tentative="0">
      <w:start w:val="1"/>
      <w:numFmt w:val="decimal"/>
      <w:lvlText w:val="2.%1"/>
      <w:lvlJc w:val="left"/>
      <w:pPr>
        <w:tabs>
          <w:tab w:val="left" w:pos="425"/>
        </w:tabs>
        <w:ind w:left="425" w:hanging="425"/>
      </w:pPr>
      <w:rPr>
        <w:rFonts w:hint="eastAsia"/>
      </w:rPr>
    </w:lvl>
    <w:lvl w:ilvl="1" w:tentative="0">
      <w:start w:val="1"/>
      <w:numFmt w:val="decimal"/>
      <w:lvlText w:val="4.%2"/>
      <w:lvlJc w:val="left"/>
      <w:pPr>
        <w:tabs>
          <w:tab w:val="left" w:pos="1077"/>
        </w:tabs>
        <w:ind w:left="0" w:firstLine="454"/>
      </w:pPr>
      <w:rPr>
        <w:rFonts w:hint="eastAsia" w:ascii="宋体" w:hAnsi="宋体" w:eastAsia="宋体"/>
      </w:rPr>
    </w:lvl>
    <w:lvl w:ilvl="2" w:tentative="0">
      <w:start w:val="1"/>
      <w:numFmt w:val="decimal"/>
      <w:lvlText w:val="3.4.%3"/>
      <w:lvlJc w:val="left"/>
      <w:pPr>
        <w:tabs>
          <w:tab w:val="left" w:pos="1191"/>
        </w:tabs>
        <w:ind w:left="0" w:firstLine="454"/>
      </w:pPr>
      <w:rPr>
        <w:rFonts w:hint="eastAsia" w:ascii="宋体" w:hAnsi="宋体" w:eastAsia="宋体"/>
      </w:rPr>
    </w:lvl>
    <w:lvl w:ilvl="3" w:tentative="0">
      <w:start w:val="1"/>
      <w:numFmt w:val="decimal"/>
      <w:lvlText w:val="%1.%2.%3.%4"/>
      <w:lvlJc w:val="left"/>
      <w:pPr>
        <w:tabs>
          <w:tab w:val="left" w:pos="1191"/>
        </w:tabs>
        <w:ind w:left="0" w:firstLine="454"/>
      </w:pPr>
      <w:rPr>
        <w:rFonts w:hint="eastAsia" w:ascii="宋体" w:eastAsia="宋体"/>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58FD657B"/>
    <w:multiLevelType w:val="singleLevel"/>
    <w:tmpl w:val="58FD657B"/>
    <w:lvl w:ilvl="0" w:tentative="0">
      <w:start w:val="1"/>
      <w:numFmt w:val="decimal"/>
      <w:lvlText w:val="%1."/>
      <w:lvlJc w:val="left"/>
      <w:pPr>
        <w:ind w:left="425" w:hanging="425"/>
      </w:pPr>
      <w:rPr>
        <w:rFonts w:hint="default"/>
      </w:rPr>
    </w:lvl>
  </w:abstractNum>
  <w:abstractNum w:abstractNumId="15">
    <w:nsid w:val="59376F13"/>
    <w:multiLevelType w:val="singleLevel"/>
    <w:tmpl w:val="59376F13"/>
    <w:lvl w:ilvl="0" w:tentative="0">
      <w:start w:val="3"/>
      <w:numFmt w:val="decimal"/>
      <w:suff w:val="space"/>
      <w:lvlText w:val="%1."/>
      <w:lvlJc w:val="left"/>
    </w:lvl>
  </w:abstractNum>
  <w:num w:numId="1">
    <w:abstractNumId w:val="14"/>
  </w:num>
  <w:num w:numId="2">
    <w:abstractNumId w:val="9"/>
  </w:num>
  <w:num w:numId="3">
    <w:abstractNumId w:val="1"/>
  </w:num>
  <w:num w:numId="4">
    <w:abstractNumId w:val="15"/>
  </w:num>
  <w:num w:numId="5">
    <w:abstractNumId w:val="0"/>
  </w:num>
  <w:num w:numId="6">
    <w:abstractNumId w:val="12"/>
  </w:num>
  <w:num w:numId="7">
    <w:abstractNumId w:val="10"/>
  </w:num>
  <w:num w:numId="8">
    <w:abstractNumId w:val="11"/>
  </w:num>
  <w:num w:numId="9">
    <w:abstractNumId w:val="13"/>
  </w:num>
  <w:num w:numId="10">
    <w:abstractNumId w:val="4"/>
  </w:num>
  <w:num w:numId="11">
    <w:abstractNumId w:val="2"/>
  </w:num>
  <w:num w:numId="12">
    <w:abstractNumId w:val="5"/>
  </w:num>
  <w:num w:numId="13">
    <w:abstractNumId w:val="6"/>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40"/>
    <w:rsid w:val="00001183"/>
    <w:rsid w:val="00004792"/>
    <w:rsid w:val="00007047"/>
    <w:rsid w:val="000076E6"/>
    <w:rsid w:val="00010529"/>
    <w:rsid w:val="000105B3"/>
    <w:rsid w:val="000117CF"/>
    <w:rsid w:val="00012A1A"/>
    <w:rsid w:val="000144F7"/>
    <w:rsid w:val="00015FD0"/>
    <w:rsid w:val="0001771E"/>
    <w:rsid w:val="00017DA4"/>
    <w:rsid w:val="0002204D"/>
    <w:rsid w:val="00031853"/>
    <w:rsid w:val="00031ACA"/>
    <w:rsid w:val="00031F2F"/>
    <w:rsid w:val="00032856"/>
    <w:rsid w:val="00034E66"/>
    <w:rsid w:val="000373F2"/>
    <w:rsid w:val="00037C38"/>
    <w:rsid w:val="000402BA"/>
    <w:rsid w:val="00040D3F"/>
    <w:rsid w:val="00041961"/>
    <w:rsid w:val="00043908"/>
    <w:rsid w:val="0004394F"/>
    <w:rsid w:val="00044293"/>
    <w:rsid w:val="0004491D"/>
    <w:rsid w:val="000466C3"/>
    <w:rsid w:val="00050537"/>
    <w:rsid w:val="000519DD"/>
    <w:rsid w:val="000521B6"/>
    <w:rsid w:val="00053644"/>
    <w:rsid w:val="00057193"/>
    <w:rsid w:val="0005753A"/>
    <w:rsid w:val="00064243"/>
    <w:rsid w:val="0006457F"/>
    <w:rsid w:val="00065434"/>
    <w:rsid w:val="00065FC5"/>
    <w:rsid w:val="000662CA"/>
    <w:rsid w:val="00067A39"/>
    <w:rsid w:val="000703E8"/>
    <w:rsid w:val="0007436E"/>
    <w:rsid w:val="00074A67"/>
    <w:rsid w:val="00075A0C"/>
    <w:rsid w:val="0008581D"/>
    <w:rsid w:val="00085D3B"/>
    <w:rsid w:val="000905DF"/>
    <w:rsid w:val="00090EE2"/>
    <w:rsid w:val="0009112F"/>
    <w:rsid w:val="00092472"/>
    <w:rsid w:val="000946BF"/>
    <w:rsid w:val="00095E97"/>
    <w:rsid w:val="000A061D"/>
    <w:rsid w:val="000A1685"/>
    <w:rsid w:val="000A1A79"/>
    <w:rsid w:val="000A2235"/>
    <w:rsid w:val="000A3B12"/>
    <w:rsid w:val="000B4D7F"/>
    <w:rsid w:val="000B7018"/>
    <w:rsid w:val="000C2396"/>
    <w:rsid w:val="000C3DEE"/>
    <w:rsid w:val="000C5B45"/>
    <w:rsid w:val="000C5F75"/>
    <w:rsid w:val="000C66AC"/>
    <w:rsid w:val="000D1AF6"/>
    <w:rsid w:val="000D1E3A"/>
    <w:rsid w:val="000E16D1"/>
    <w:rsid w:val="000E4221"/>
    <w:rsid w:val="000E5572"/>
    <w:rsid w:val="000E5968"/>
    <w:rsid w:val="000E63A1"/>
    <w:rsid w:val="000E6A72"/>
    <w:rsid w:val="000E7131"/>
    <w:rsid w:val="00102BE9"/>
    <w:rsid w:val="00104024"/>
    <w:rsid w:val="00105850"/>
    <w:rsid w:val="001059E5"/>
    <w:rsid w:val="001077D2"/>
    <w:rsid w:val="00110606"/>
    <w:rsid w:val="00113814"/>
    <w:rsid w:val="00116704"/>
    <w:rsid w:val="001177B7"/>
    <w:rsid w:val="00120406"/>
    <w:rsid w:val="00120D7C"/>
    <w:rsid w:val="00121D99"/>
    <w:rsid w:val="0012222F"/>
    <w:rsid w:val="00124C5C"/>
    <w:rsid w:val="0012688D"/>
    <w:rsid w:val="0013048A"/>
    <w:rsid w:val="00132EB5"/>
    <w:rsid w:val="00140711"/>
    <w:rsid w:val="00143103"/>
    <w:rsid w:val="0014354B"/>
    <w:rsid w:val="00144128"/>
    <w:rsid w:val="00150618"/>
    <w:rsid w:val="00153A9D"/>
    <w:rsid w:val="00154915"/>
    <w:rsid w:val="00157DA3"/>
    <w:rsid w:val="00160B44"/>
    <w:rsid w:val="001616A2"/>
    <w:rsid w:val="00163A18"/>
    <w:rsid w:val="00172877"/>
    <w:rsid w:val="00172A27"/>
    <w:rsid w:val="00174182"/>
    <w:rsid w:val="001749AB"/>
    <w:rsid w:val="001763E4"/>
    <w:rsid w:val="00176E19"/>
    <w:rsid w:val="00177161"/>
    <w:rsid w:val="00181ADC"/>
    <w:rsid w:val="00184DE7"/>
    <w:rsid w:val="0019255C"/>
    <w:rsid w:val="0019561B"/>
    <w:rsid w:val="00197262"/>
    <w:rsid w:val="001A095B"/>
    <w:rsid w:val="001A1E67"/>
    <w:rsid w:val="001A461F"/>
    <w:rsid w:val="001A4831"/>
    <w:rsid w:val="001B1CD7"/>
    <w:rsid w:val="001B456A"/>
    <w:rsid w:val="001B5859"/>
    <w:rsid w:val="001B585C"/>
    <w:rsid w:val="001C2BD4"/>
    <w:rsid w:val="001C4837"/>
    <w:rsid w:val="001C5946"/>
    <w:rsid w:val="001C61C9"/>
    <w:rsid w:val="001C7220"/>
    <w:rsid w:val="001C7C6E"/>
    <w:rsid w:val="001D0FA9"/>
    <w:rsid w:val="001D17CA"/>
    <w:rsid w:val="001D20CC"/>
    <w:rsid w:val="001D2243"/>
    <w:rsid w:val="001D64B9"/>
    <w:rsid w:val="001D6723"/>
    <w:rsid w:val="001D6A5F"/>
    <w:rsid w:val="001D77E4"/>
    <w:rsid w:val="001E2A64"/>
    <w:rsid w:val="001E3CF5"/>
    <w:rsid w:val="001E4267"/>
    <w:rsid w:val="001E6221"/>
    <w:rsid w:val="001E7EFF"/>
    <w:rsid w:val="001F1B2C"/>
    <w:rsid w:val="001F2890"/>
    <w:rsid w:val="001F4182"/>
    <w:rsid w:val="001F7877"/>
    <w:rsid w:val="002070D3"/>
    <w:rsid w:val="00210010"/>
    <w:rsid w:val="00210BBF"/>
    <w:rsid w:val="00210F65"/>
    <w:rsid w:val="0021128F"/>
    <w:rsid w:val="0021132F"/>
    <w:rsid w:val="00212E7D"/>
    <w:rsid w:val="00214735"/>
    <w:rsid w:val="002165E8"/>
    <w:rsid w:val="0022098D"/>
    <w:rsid w:val="00221494"/>
    <w:rsid w:val="0022165E"/>
    <w:rsid w:val="0022241A"/>
    <w:rsid w:val="00223013"/>
    <w:rsid w:val="00223691"/>
    <w:rsid w:val="00223B15"/>
    <w:rsid w:val="002254F1"/>
    <w:rsid w:val="002259CD"/>
    <w:rsid w:val="00226EE9"/>
    <w:rsid w:val="00227DD9"/>
    <w:rsid w:val="00232496"/>
    <w:rsid w:val="00232D27"/>
    <w:rsid w:val="00234EB7"/>
    <w:rsid w:val="00234EE5"/>
    <w:rsid w:val="00235AE2"/>
    <w:rsid w:val="00237C49"/>
    <w:rsid w:val="00240E72"/>
    <w:rsid w:val="00241C02"/>
    <w:rsid w:val="00244BFD"/>
    <w:rsid w:val="00244F63"/>
    <w:rsid w:val="00246D71"/>
    <w:rsid w:val="00250F14"/>
    <w:rsid w:val="002515E0"/>
    <w:rsid w:val="0025274D"/>
    <w:rsid w:val="00255BA4"/>
    <w:rsid w:val="002652D6"/>
    <w:rsid w:val="002658DB"/>
    <w:rsid w:val="0027068F"/>
    <w:rsid w:val="00270A11"/>
    <w:rsid w:val="00272652"/>
    <w:rsid w:val="0027430F"/>
    <w:rsid w:val="00276CAF"/>
    <w:rsid w:val="00281DEA"/>
    <w:rsid w:val="002903A9"/>
    <w:rsid w:val="002915F0"/>
    <w:rsid w:val="002968BE"/>
    <w:rsid w:val="00297AAF"/>
    <w:rsid w:val="002A06E4"/>
    <w:rsid w:val="002A1E26"/>
    <w:rsid w:val="002A249C"/>
    <w:rsid w:val="002A34C5"/>
    <w:rsid w:val="002A4D0C"/>
    <w:rsid w:val="002A56DB"/>
    <w:rsid w:val="002A6EB2"/>
    <w:rsid w:val="002A7FA8"/>
    <w:rsid w:val="002B10C2"/>
    <w:rsid w:val="002B1462"/>
    <w:rsid w:val="002B189C"/>
    <w:rsid w:val="002B36AC"/>
    <w:rsid w:val="002B7F4F"/>
    <w:rsid w:val="002C1453"/>
    <w:rsid w:val="002C22FD"/>
    <w:rsid w:val="002D03D6"/>
    <w:rsid w:val="002D0CB6"/>
    <w:rsid w:val="002D15D4"/>
    <w:rsid w:val="002D5495"/>
    <w:rsid w:val="002D5AE1"/>
    <w:rsid w:val="002E0595"/>
    <w:rsid w:val="002E26B9"/>
    <w:rsid w:val="002E2822"/>
    <w:rsid w:val="002E2A47"/>
    <w:rsid w:val="002E31E0"/>
    <w:rsid w:val="002E32EA"/>
    <w:rsid w:val="002E7F78"/>
    <w:rsid w:val="002F019F"/>
    <w:rsid w:val="002F191F"/>
    <w:rsid w:val="002F1B55"/>
    <w:rsid w:val="002F2BB7"/>
    <w:rsid w:val="002F5974"/>
    <w:rsid w:val="00302957"/>
    <w:rsid w:val="00305729"/>
    <w:rsid w:val="00306D13"/>
    <w:rsid w:val="00307304"/>
    <w:rsid w:val="003079C8"/>
    <w:rsid w:val="003118BD"/>
    <w:rsid w:val="00311D6A"/>
    <w:rsid w:val="00312697"/>
    <w:rsid w:val="00314E89"/>
    <w:rsid w:val="00315A27"/>
    <w:rsid w:val="003160FF"/>
    <w:rsid w:val="00320820"/>
    <w:rsid w:val="003209AF"/>
    <w:rsid w:val="003210A8"/>
    <w:rsid w:val="00322646"/>
    <w:rsid w:val="0032746E"/>
    <w:rsid w:val="00330430"/>
    <w:rsid w:val="0033559B"/>
    <w:rsid w:val="00343FC9"/>
    <w:rsid w:val="00346863"/>
    <w:rsid w:val="00350845"/>
    <w:rsid w:val="00353805"/>
    <w:rsid w:val="00357660"/>
    <w:rsid w:val="00360CD9"/>
    <w:rsid w:val="00361E02"/>
    <w:rsid w:val="00362B36"/>
    <w:rsid w:val="00366F24"/>
    <w:rsid w:val="00367E20"/>
    <w:rsid w:val="003702F3"/>
    <w:rsid w:val="00371079"/>
    <w:rsid w:val="0037261A"/>
    <w:rsid w:val="00372CB1"/>
    <w:rsid w:val="00374735"/>
    <w:rsid w:val="00376701"/>
    <w:rsid w:val="00377268"/>
    <w:rsid w:val="003805BD"/>
    <w:rsid w:val="003816FD"/>
    <w:rsid w:val="00385292"/>
    <w:rsid w:val="00387D7C"/>
    <w:rsid w:val="00390012"/>
    <w:rsid w:val="003908B0"/>
    <w:rsid w:val="003912A8"/>
    <w:rsid w:val="00391E17"/>
    <w:rsid w:val="003A1349"/>
    <w:rsid w:val="003A3C4F"/>
    <w:rsid w:val="003B05D0"/>
    <w:rsid w:val="003B14DE"/>
    <w:rsid w:val="003B2615"/>
    <w:rsid w:val="003B2EF2"/>
    <w:rsid w:val="003B444A"/>
    <w:rsid w:val="003B4D50"/>
    <w:rsid w:val="003B76A9"/>
    <w:rsid w:val="003C3DDA"/>
    <w:rsid w:val="003C4DAA"/>
    <w:rsid w:val="003C55AF"/>
    <w:rsid w:val="003C5B63"/>
    <w:rsid w:val="003D3451"/>
    <w:rsid w:val="003D5F85"/>
    <w:rsid w:val="003D7FD2"/>
    <w:rsid w:val="003E247E"/>
    <w:rsid w:val="003E3415"/>
    <w:rsid w:val="003E5F6A"/>
    <w:rsid w:val="003E667D"/>
    <w:rsid w:val="003E6DB5"/>
    <w:rsid w:val="003F16D3"/>
    <w:rsid w:val="003F2177"/>
    <w:rsid w:val="003F4F3C"/>
    <w:rsid w:val="00401C88"/>
    <w:rsid w:val="00403CB8"/>
    <w:rsid w:val="004065F0"/>
    <w:rsid w:val="0040684F"/>
    <w:rsid w:val="00407E8B"/>
    <w:rsid w:val="004103D9"/>
    <w:rsid w:val="00411B30"/>
    <w:rsid w:val="00412AE1"/>
    <w:rsid w:val="0041630B"/>
    <w:rsid w:val="00422B93"/>
    <w:rsid w:val="00425EE5"/>
    <w:rsid w:val="004307AD"/>
    <w:rsid w:val="004343AB"/>
    <w:rsid w:val="00434957"/>
    <w:rsid w:val="004374B6"/>
    <w:rsid w:val="00441800"/>
    <w:rsid w:val="00442912"/>
    <w:rsid w:val="00445132"/>
    <w:rsid w:val="004459CD"/>
    <w:rsid w:val="004471BE"/>
    <w:rsid w:val="004476F1"/>
    <w:rsid w:val="00447CED"/>
    <w:rsid w:val="004513F5"/>
    <w:rsid w:val="004519E6"/>
    <w:rsid w:val="00456BFC"/>
    <w:rsid w:val="004572E7"/>
    <w:rsid w:val="00457420"/>
    <w:rsid w:val="00460E21"/>
    <w:rsid w:val="00464004"/>
    <w:rsid w:val="004673E7"/>
    <w:rsid w:val="00470343"/>
    <w:rsid w:val="004707DB"/>
    <w:rsid w:val="004724F2"/>
    <w:rsid w:val="00475830"/>
    <w:rsid w:val="00480F04"/>
    <w:rsid w:val="00483131"/>
    <w:rsid w:val="00485BD2"/>
    <w:rsid w:val="00487017"/>
    <w:rsid w:val="0049116D"/>
    <w:rsid w:val="004922BA"/>
    <w:rsid w:val="00492C29"/>
    <w:rsid w:val="0049371A"/>
    <w:rsid w:val="00497416"/>
    <w:rsid w:val="004A01B8"/>
    <w:rsid w:val="004A027E"/>
    <w:rsid w:val="004A178C"/>
    <w:rsid w:val="004A180E"/>
    <w:rsid w:val="004A52DE"/>
    <w:rsid w:val="004A749F"/>
    <w:rsid w:val="004B1289"/>
    <w:rsid w:val="004B529C"/>
    <w:rsid w:val="004C26E9"/>
    <w:rsid w:val="004C3E28"/>
    <w:rsid w:val="004C3EC3"/>
    <w:rsid w:val="004C55A7"/>
    <w:rsid w:val="004C6E2C"/>
    <w:rsid w:val="004D01DD"/>
    <w:rsid w:val="004D2C50"/>
    <w:rsid w:val="004D5148"/>
    <w:rsid w:val="004D7A9E"/>
    <w:rsid w:val="004E58C5"/>
    <w:rsid w:val="004F3F4B"/>
    <w:rsid w:val="004F7050"/>
    <w:rsid w:val="004F721B"/>
    <w:rsid w:val="00500F3A"/>
    <w:rsid w:val="00504D12"/>
    <w:rsid w:val="00506F1E"/>
    <w:rsid w:val="0051164E"/>
    <w:rsid w:val="00517ECE"/>
    <w:rsid w:val="0052094D"/>
    <w:rsid w:val="005246E0"/>
    <w:rsid w:val="005250EB"/>
    <w:rsid w:val="00525119"/>
    <w:rsid w:val="005273B8"/>
    <w:rsid w:val="005279A1"/>
    <w:rsid w:val="00531AEA"/>
    <w:rsid w:val="00535E0C"/>
    <w:rsid w:val="00541EFE"/>
    <w:rsid w:val="00543B7C"/>
    <w:rsid w:val="00543C64"/>
    <w:rsid w:val="005505FF"/>
    <w:rsid w:val="005513E1"/>
    <w:rsid w:val="00553751"/>
    <w:rsid w:val="00563265"/>
    <w:rsid w:val="0056342C"/>
    <w:rsid w:val="0056387D"/>
    <w:rsid w:val="005655E1"/>
    <w:rsid w:val="00574284"/>
    <w:rsid w:val="005755EA"/>
    <w:rsid w:val="00575FE0"/>
    <w:rsid w:val="00581996"/>
    <w:rsid w:val="00581B1E"/>
    <w:rsid w:val="00582784"/>
    <w:rsid w:val="00587731"/>
    <w:rsid w:val="0059114A"/>
    <w:rsid w:val="005919DF"/>
    <w:rsid w:val="00593C04"/>
    <w:rsid w:val="00593F50"/>
    <w:rsid w:val="005A17C2"/>
    <w:rsid w:val="005A213B"/>
    <w:rsid w:val="005A28FE"/>
    <w:rsid w:val="005A4908"/>
    <w:rsid w:val="005A5ABD"/>
    <w:rsid w:val="005A61E8"/>
    <w:rsid w:val="005A6ACD"/>
    <w:rsid w:val="005B2C76"/>
    <w:rsid w:val="005B30A1"/>
    <w:rsid w:val="005B7686"/>
    <w:rsid w:val="005B7BFB"/>
    <w:rsid w:val="005C27C2"/>
    <w:rsid w:val="005C2858"/>
    <w:rsid w:val="005C30CE"/>
    <w:rsid w:val="005C3C5A"/>
    <w:rsid w:val="005C6983"/>
    <w:rsid w:val="005D14B8"/>
    <w:rsid w:val="005D1DCE"/>
    <w:rsid w:val="005D30F4"/>
    <w:rsid w:val="005D55E6"/>
    <w:rsid w:val="005D5948"/>
    <w:rsid w:val="005D686B"/>
    <w:rsid w:val="005D697E"/>
    <w:rsid w:val="005E184A"/>
    <w:rsid w:val="005E1ABE"/>
    <w:rsid w:val="005E20D4"/>
    <w:rsid w:val="005E43F3"/>
    <w:rsid w:val="005E4D8D"/>
    <w:rsid w:val="005E7E9C"/>
    <w:rsid w:val="005F1EE6"/>
    <w:rsid w:val="005F2AEF"/>
    <w:rsid w:val="005F3768"/>
    <w:rsid w:val="005F414E"/>
    <w:rsid w:val="005F4C41"/>
    <w:rsid w:val="005F6B4C"/>
    <w:rsid w:val="0060023D"/>
    <w:rsid w:val="006008F8"/>
    <w:rsid w:val="006042F7"/>
    <w:rsid w:val="00604DC8"/>
    <w:rsid w:val="00605B60"/>
    <w:rsid w:val="00606F7A"/>
    <w:rsid w:val="00612ED0"/>
    <w:rsid w:val="00616C3A"/>
    <w:rsid w:val="00625ACC"/>
    <w:rsid w:val="0062669B"/>
    <w:rsid w:val="006266BE"/>
    <w:rsid w:val="00630F63"/>
    <w:rsid w:val="00631305"/>
    <w:rsid w:val="00632514"/>
    <w:rsid w:val="00634E0B"/>
    <w:rsid w:val="006374A3"/>
    <w:rsid w:val="00637DD9"/>
    <w:rsid w:val="00640FD4"/>
    <w:rsid w:val="006411E3"/>
    <w:rsid w:val="00641AE5"/>
    <w:rsid w:val="00642805"/>
    <w:rsid w:val="00643E27"/>
    <w:rsid w:val="006440C8"/>
    <w:rsid w:val="00647011"/>
    <w:rsid w:val="006507A8"/>
    <w:rsid w:val="0065463A"/>
    <w:rsid w:val="006611DE"/>
    <w:rsid w:val="00662315"/>
    <w:rsid w:val="006637FD"/>
    <w:rsid w:val="00671D25"/>
    <w:rsid w:val="00674AEC"/>
    <w:rsid w:val="0067607F"/>
    <w:rsid w:val="00676EB5"/>
    <w:rsid w:val="00677ADD"/>
    <w:rsid w:val="00680CAB"/>
    <w:rsid w:val="00683A33"/>
    <w:rsid w:val="006844B7"/>
    <w:rsid w:val="00684EE0"/>
    <w:rsid w:val="00687CD7"/>
    <w:rsid w:val="00690D7A"/>
    <w:rsid w:val="006936A7"/>
    <w:rsid w:val="00696582"/>
    <w:rsid w:val="006A138E"/>
    <w:rsid w:val="006A6629"/>
    <w:rsid w:val="006B141E"/>
    <w:rsid w:val="006B16ED"/>
    <w:rsid w:val="006B2633"/>
    <w:rsid w:val="006B2AF1"/>
    <w:rsid w:val="006B4275"/>
    <w:rsid w:val="006B4917"/>
    <w:rsid w:val="006B4BFA"/>
    <w:rsid w:val="006C366C"/>
    <w:rsid w:val="006C3DE3"/>
    <w:rsid w:val="006C6FAB"/>
    <w:rsid w:val="006D09F7"/>
    <w:rsid w:val="006D61E8"/>
    <w:rsid w:val="006E3BFB"/>
    <w:rsid w:val="006E4701"/>
    <w:rsid w:val="006E682A"/>
    <w:rsid w:val="006F043C"/>
    <w:rsid w:val="006F0EDD"/>
    <w:rsid w:val="006F10ED"/>
    <w:rsid w:val="006F3180"/>
    <w:rsid w:val="006F35C0"/>
    <w:rsid w:val="006F5016"/>
    <w:rsid w:val="00702C81"/>
    <w:rsid w:val="00703141"/>
    <w:rsid w:val="00703738"/>
    <w:rsid w:val="00704FF5"/>
    <w:rsid w:val="00707ED1"/>
    <w:rsid w:val="00711263"/>
    <w:rsid w:val="007122B9"/>
    <w:rsid w:val="007146BC"/>
    <w:rsid w:val="007169B5"/>
    <w:rsid w:val="00716D26"/>
    <w:rsid w:val="007204FB"/>
    <w:rsid w:val="007211EB"/>
    <w:rsid w:val="0072269E"/>
    <w:rsid w:val="00722ADE"/>
    <w:rsid w:val="00723DCC"/>
    <w:rsid w:val="00724650"/>
    <w:rsid w:val="0072583A"/>
    <w:rsid w:val="00726CD9"/>
    <w:rsid w:val="00727140"/>
    <w:rsid w:val="00727C0E"/>
    <w:rsid w:val="00730177"/>
    <w:rsid w:val="007322BC"/>
    <w:rsid w:val="00732487"/>
    <w:rsid w:val="00735DC0"/>
    <w:rsid w:val="007415F8"/>
    <w:rsid w:val="007425CE"/>
    <w:rsid w:val="00743E2F"/>
    <w:rsid w:val="0074516F"/>
    <w:rsid w:val="00747E8E"/>
    <w:rsid w:val="0075264E"/>
    <w:rsid w:val="00753612"/>
    <w:rsid w:val="00757A4F"/>
    <w:rsid w:val="00761CF0"/>
    <w:rsid w:val="007658F0"/>
    <w:rsid w:val="007669FD"/>
    <w:rsid w:val="007676A6"/>
    <w:rsid w:val="007749F1"/>
    <w:rsid w:val="00776445"/>
    <w:rsid w:val="00780C8B"/>
    <w:rsid w:val="0078351B"/>
    <w:rsid w:val="0078634C"/>
    <w:rsid w:val="00786A8E"/>
    <w:rsid w:val="00793D0B"/>
    <w:rsid w:val="00793DE9"/>
    <w:rsid w:val="00794D5B"/>
    <w:rsid w:val="00797CFF"/>
    <w:rsid w:val="007A300A"/>
    <w:rsid w:val="007A4DDF"/>
    <w:rsid w:val="007A52F2"/>
    <w:rsid w:val="007B29F1"/>
    <w:rsid w:val="007B43B9"/>
    <w:rsid w:val="007B473D"/>
    <w:rsid w:val="007B65F7"/>
    <w:rsid w:val="007B7BBC"/>
    <w:rsid w:val="007C0BBE"/>
    <w:rsid w:val="007C119C"/>
    <w:rsid w:val="007C3505"/>
    <w:rsid w:val="007C458E"/>
    <w:rsid w:val="007D018B"/>
    <w:rsid w:val="007D10C7"/>
    <w:rsid w:val="007D25B8"/>
    <w:rsid w:val="007D433C"/>
    <w:rsid w:val="007D6ECD"/>
    <w:rsid w:val="007D78D1"/>
    <w:rsid w:val="007E02A0"/>
    <w:rsid w:val="007E168C"/>
    <w:rsid w:val="007E1747"/>
    <w:rsid w:val="007E1B85"/>
    <w:rsid w:val="007E2867"/>
    <w:rsid w:val="007E555E"/>
    <w:rsid w:val="007E6476"/>
    <w:rsid w:val="007E6A94"/>
    <w:rsid w:val="007E71B4"/>
    <w:rsid w:val="007E7634"/>
    <w:rsid w:val="007F41E9"/>
    <w:rsid w:val="007F580D"/>
    <w:rsid w:val="00800E49"/>
    <w:rsid w:val="008032BF"/>
    <w:rsid w:val="008055EF"/>
    <w:rsid w:val="00805F72"/>
    <w:rsid w:val="00806384"/>
    <w:rsid w:val="0080731F"/>
    <w:rsid w:val="008107B8"/>
    <w:rsid w:val="00811558"/>
    <w:rsid w:val="0081584C"/>
    <w:rsid w:val="0081792C"/>
    <w:rsid w:val="008228A1"/>
    <w:rsid w:val="008229BB"/>
    <w:rsid w:val="008232F2"/>
    <w:rsid w:val="00823A08"/>
    <w:rsid w:val="00824B33"/>
    <w:rsid w:val="008251BC"/>
    <w:rsid w:val="00826571"/>
    <w:rsid w:val="008278FA"/>
    <w:rsid w:val="00831798"/>
    <w:rsid w:val="00831BB8"/>
    <w:rsid w:val="00833DED"/>
    <w:rsid w:val="008347A0"/>
    <w:rsid w:val="00836161"/>
    <w:rsid w:val="00837093"/>
    <w:rsid w:val="00837E41"/>
    <w:rsid w:val="00844D20"/>
    <w:rsid w:val="00845211"/>
    <w:rsid w:val="00846838"/>
    <w:rsid w:val="00847E04"/>
    <w:rsid w:val="00855909"/>
    <w:rsid w:val="00861CC9"/>
    <w:rsid w:val="00861EDC"/>
    <w:rsid w:val="008626C5"/>
    <w:rsid w:val="0086402F"/>
    <w:rsid w:val="00864932"/>
    <w:rsid w:val="00864BDB"/>
    <w:rsid w:val="00864DCE"/>
    <w:rsid w:val="00865475"/>
    <w:rsid w:val="00865D79"/>
    <w:rsid w:val="00867922"/>
    <w:rsid w:val="00867D8F"/>
    <w:rsid w:val="00872D80"/>
    <w:rsid w:val="0087312A"/>
    <w:rsid w:val="0087759E"/>
    <w:rsid w:val="00877DD5"/>
    <w:rsid w:val="008825FA"/>
    <w:rsid w:val="00882C49"/>
    <w:rsid w:val="0088354C"/>
    <w:rsid w:val="008851C6"/>
    <w:rsid w:val="008856C3"/>
    <w:rsid w:val="00893594"/>
    <w:rsid w:val="0089423A"/>
    <w:rsid w:val="00894ACE"/>
    <w:rsid w:val="00896A1E"/>
    <w:rsid w:val="008A070A"/>
    <w:rsid w:val="008A14A1"/>
    <w:rsid w:val="008A2355"/>
    <w:rsid w:val="008A256D"/>
    <w:rsid w:val="008A31B3"/>
    <w:rsid w:val="008A545C"/>
    <w:rsid w:val="008A5CDD"/>
    <w:rsid w:val="008A7148"/>
    <w:rsid w:val="008B0D93"/>
    <w:rsid w:val="008B1B9E"/>
    <w:rsid w:val="008B3B84"/>
    <w:rsid w:val="008B62B4"/>
    <w:rsid w:val="008B6409"/>
    <w:rsid w:val="008C4669"/>
    <w:rsid w:val="008C720E"/>
    <w:rsid w:val="008C7DEA"/>
    <w:rsid w:val="008D1FC9"/>
    <w:rsid w:val="008D3B47"/>
    <w:rsid w:val="008D4E01"/>
    <w:rsid w:val="008D5256"/>
    <w:rsid w:val="008D5346"/>
    <w:rsid w:val="008D7817"/>
    <w:rsid w:val="008E1792"/>
    <w:rsid w:val="008E3221"/>
    <w:rsid w:val="008E694C"/>
    <w:rsid w:val="008F1DF4"/>
    <w:rsid w:val="008F7B5E"/>
    <w:rsid w:val="0090010F"/>
    <w:rsid w:val="00905CFE"/>
    <w:rsid w:val="0090796E"/>
    <w:rsid w:val="00911DE3"/>
    <w:rsid w:val="009122B4"/>
    <w:rsid w:val="0091341A"/>
    <w:rsid w:val="009137FB"/>
    <w:rsid w:val="009158E6"/>
    <w:rsid w:val="00915E34"/>
    <w:rsid w:val="009162C0"/>
    <w:rsid w:val="009168BD"/>
    <w:rsid w:val="00916943"/>
    <w:rsid w:val="00916A1B"/>
    <w:rsid w:val="00917625"/>
    <w:rsid w:val="00921C6F"/>
    <w:rsid w:val="00923A71"/>
    <w:rsid w:val="00923E2C"/>
    <w:rsid w:val="00924646"/>
    <w:rsid w:val="00931839"/>
    <w:rsid w:val="00935797"/>
    <w:rsid w:val="00936998"/>
    <w:rsid w:val="00941CE1"/>
    <w:rsid w:val="00942A59"/>
    <w:rsid w:val="00942D13"/>
    <w:rsid w:val="00945E01"/>
    <w:rsid w:val="00952802"/>
    <w:rsid w:val="00957146"/>
    <w:rsid w:val="009604D0"/>
    <w:rsid w:val="0096132F"/>
    <w:rsid w:val="00962A51"/>
    <w:rsid w:val="00962F91"/>
    <w:rsid w:val="00965292"/>
    <w:rsid w:val="009664C4"/>
    <w:rsid w:val="00967AAE"/>
    <w:rsid w:val="009709E9"/>
    <w:rsid w:val="00970D07"/>
    <w:rsid w:val="00974D45"/>
    <w:rsid w:val="009750C8"/>
    <w:rsid w:val="009766F6"/>
    <w:rsid w:val="00986BA2"/>
    <w:rsid w:val="0098755F"/>
    <w:rsid w:val="00987D82"/>
    <w:rsid w:val="0099233F"/>
    <w:rsid w:val="00992E17"/>
    <w:rsid w:val="009939C6"/>
    <w:rsid w:val="00995781"/>
    <w:rsid w:val="00995D08"/>
    <w:rsid w:val="00996D16"/>
    <w:rsid w:val="009A0432"/>
    <w:rsid w:val="009A2170"/>
    <w:rsid w:val="009A3368"/>
    <w:rsid w:val="009A3C77"/>
    <w:rsid w:val="009A3E75"/>
    <w:rsid w:val="009A73D4"/>
    <w:rsid w:val="009B1356"/>
    <w:rsid w:val="009B35BA"/>
    <w:rsid w:val="009B4453"/>
    <w:rsid w:val="009B5711"/>
    <w:rsid w:val="009C3B0B"/>
    <w:rsid w:val="009C3E75"/>
    <w:rsid w:val="009D02F1"/>
    <w:rsid w:val="009D260F"/>
    <w:rsid w:val="009D45B1"/>
    <w:rsid w:val="009D4851"/>
    <w:rsid w:val="009D48C6"/>
    <w:rsid w:val="009D57A6"/>
    <w:rsid w:val="009E106F"/>
    <w:rsid w:val="009E449B"/>
    <w:rsid w:val="009E73E5"/>
    <w:rsid w:val="009F0FA7"/>
    <w:rsid w:val="009F17F7"/>
    <w:rsid w:val="009F238A"/>
    <w:rsid w:val="009F2A76"/>
    <w:rsid w:val="009F484D"/>
    <w:rsid w:val="009F6A4C"/>
    <w:rsid w:val="009F7BC1"/>
    <w:rsid w:val="009F7E83"/>
    <w:rsid w:val="00A00DE1"/>
    <w:rsid w:val="00A00EF7"/>
    <w:rsid w:val="00A0403B"/>
    <w:rsid w:val="00A15934"/>
    <w:rsid w:val="00A22B49"/>
    <w:rsid w:val="00A260C5"/>
    <w:rsid w:val="00A2791D"/>
    <w:rsid w:val="00A30A70"/>
    <w:rsid w:val="00A30F0D"/>
    <w:rsid w:val="00A310DA"/>
    <w:rsid w:val="00A31411"/>
    <w:rsid w:val="00A33E4A"/>
    <w:rsid w:val="00A34EC7"/>
    <w:rsid w:val="00A5090B"/>
    <w:rsid w:val="00A50F51"/>
    <w:rsid w:val="00A52A5C"/>
    <w:rsid w:val="00A55915"/>
    <w:rsid w:val="00A56403"/>
    <w:rsid w:val="00A5703D"/>
    <w:rsid w:val="00A602C6"/>
    <w:rsid w:val="00A62156"/>
    <w:rsid w:val="00A67F01"/>
    <w:rsid w:val="00A67F1F"/>
    <w:rsid w:val="00A7166C"/>
    <w:rsid w:val="00A7329C"/>
    <w:rsid w:val="00A739A6"/>
    <w:rsid w:val="00A807F4"/>
    <w:rsid w:val="00A81AF7"/>
    <w:rsid w:val="00A854F5"/>
    <w:rsid w:val="00A85535"/>
    <w:rsid w:val="00A87865"/>
    <w:rsid w:val="00A902BA"/>
    <w:rsid w:val="00A90416"/>
    <w:rsid w:val="00A92B0A"/>
    <w:rsid w:val="00A935A4"/>
    <w:rsid w:val="00A96E3A"/>
    <w:rsid w:val="00A97287"/>
    <w:rsid w:val="00A97C6E"/>
    <w:rsid w:val="00AA156A"/>
    <w:rsid w:val="00AA1AF4"/>
    <w:rsid w:val="00AA3E55"/>
    <w:rsid w:val="00AA78A4"/>
    <w:rsid w:val="00AA7C6D"/>
    <w:rsid w:val="00AB1B13"/>
    <w:rsid w:val="00AB1D15"/>
    <w:rsid w:val="00AB5512"/>
    <w:rsid w:val="00AC238B"/>
    <w:rsid w:val="00AC4CF4"/>
    <w:rsid w:val="00AC51EE"/>
    <w:rsid w:val="00AD1BD1"/>
    <w:rsid w:val="00AD28BC"/>
    <w:rsid w:val="00AD28BD"/>
    <w:rsid w:val="00AD384B"/>
    <w:rsid w:val="00AD39BE"/>
    <w:rsid w:val="00AD4473"/>
    <w:rsid w:val="00AD67EF"/>
    <w:rsid w:val="00AE043C"/>
    <w:rsid w:val="00AE1293"/>
    <w:rsid w:val="00AE4452"/>
    <w:rsid w:val="00AE47CC"/>
    <w:rsid w:val="00AF114F"/>
    <w:rsid w:val="00AF28D5"/>
    <w:rsid w:val="00AF52B7"/>
    <w:rsid w:val="00AF6AEE"/>
    <w:rsid w:val="00AF6AFA"/>
    <w:rsid w:val="00B0490A"/>
    <w:rsid w:val="00B07E71"/>
    <w:rsid w:val="00B10414"/>
    <w:rsid w:val="00B124BA"/>
    <w:rsid w:val="00B14CC5"/>
    <w:rsid w:val="00B16B7E"/>
    <w:rsid w:val="00B20138"/>
    <w:rsid w:val="00B2013D"/>
    <w:rsid w:val="00B201BF"/>
    <w:rsid w:val="00B209DD"/>
    <w:rsid w:val="00B23D70"/>
    <w:rsid w:val="00B2557E"/>
    <w:rsid w:val="00B274C8"/>
    <w:rsid w:val="00B315D0"/>
    <w:rsid w:val="00B361CE"/>
    <w:rsid w:val="00B4076A"/>
    <w:rsid w:val="00B44A3D"/>
    <w:rsid w:val="00B47396"/>
    <w:rsid w:val="00B4762A"/>
    <w:rsid w:val="00B50ABB"/>
    <w:rsid w:val="00B50C4B"/>
    <w:rsid w:val="00B50F35"/>
    <w:rsid w:val="00B52366"/>
    <w:rsid w:val="00B53097"/>
    <w:rsid w:val="00B5436B"/>
    <w:rsid w:val="00B5453F"/>
    <w:rsid w:val="00B55863"/>
    <w:rsid w:val="00B559F7"/>
    <w:rsid w:val="00B60B47"/>
    <w:rsid w:val="00B60DA7"/>
    <w:rsid w:val="00B614E1"/>
    <w:rsid w:val="00B62902"/>
    <w:rsid w:val="00B65203"/>
    <w:rsid w:val="00B6565B"/>
    <w:rsid w:val="00B6597F"/>
    <w:rsid w:val="00B66FD2"/>
    <w:rsid w:val="00B7119A"/>
    <w:rsid w:val="00B71945"/>
    <w:rsid w:val="00B72D39"/>
    <w:rsid w:val="00B74028"/>
    <w:rsid w:val="00B745E6"/>
    <w:rsid w:val="00B75EA2"/>
    <w:rsid w:val="00B805E9"/>
    <w:rsid w:val="00B80D49"/>
    <w:rsid w:val="00B81219"/>
    <w:rsid w:val="00B81514"/>
    <w:rsid w:val="00B815C5"/>
    <w:rsid w:val="00B82693"/>
    <w:rsid w:val="00B909CE"/>
    <w:rsid w:val="00B95874"/>
    <w:rsid w:val="00BA2EF7"/>
    <w:rsid w:val="00BA4F6A"/>
    <w:rsid w:val="00BB0264"/>
    <w:rsid w:val="00BB0B81"/>
    <w:rsid w:val="00BB215D"/>
    <w:rsid w:val="00BB38DB"/>
    <w:rsid w:val="00BB5DC7"/>
    <w:rsid w:val="00BB7F2B"/>
    <w:rsid w:val="00BC2C92"/>
    <w:rsid w:val="00BC3211"/>
    <w:rsid w:val="00BC6181"/>
    <w:rsid w:val="00BC6BBD"/>
    <w:rsid w:val="00BC7BF4"/>
    <w:rsid w:val="00BC7F32"/>
    <w:rsid w:val="00BD0D5E"/>
    <w:rsid w:val="00BD1E71"/>
    <w:rsid w:val="00BD3696"/>
    <w:rsid w:val="00BD4333"/>
    <w:rsid w:val="00BD54A1"/>
    <w:rsid w:val="00BD5797"/>
    <w:rsid w:val="00BE03FD"/>
    <w:rsid w:val="00BE1C01"/>
    <w:rsid w:val="00BE387C"/>
    <w:rsid w:val="00BE4BAE"/>
    <w:rsid w:val="00BE6DA5"/>
    <w:rsid w:val="00BE7C61"/>
    <w:rsid w:val="00BE7CF5"/>
    <w:rsid w:val="00BE7F2F"/>
    <w:rsid w:val="00BF4E0F"/>
    <w:rsid w:val="00BF654A"/>
    <w:rsid w:val="00BF7032"/>
    <w:rsid w:val="00C009DE"/>
    <w:rsid w:val="00C014F9"/>
    <w:rsid w:val="00C03034"/>
    <w:rsid w:val="00C0462C"/>
    <w:rsid w:val="00C052B1"/>
    <w:rsid w:val="00C070BF"/>
    <w:rsid w:val="00C12FF0"/>
    <w:rsid w:val="00C13586"/>
    <w:rsid w:val="00C14FF8"/>
    <w:rsid w:val="00C16D74"/>
    <w:rsid w:val="00C17329"/>
    <w:rsid w:val="00C17374"/>
    <w:rsid w:val="00C177DD"/>
    <w:rsid w:val="00C268AA"/>
    <w:rsid w:val="00C27E9D"/>
    <w:rsid w:val="00C312B4"/>
    <w:rsid w:val="00C32A7E"/>
    <w:rsid w:val="00C33BF2"/>
    <w:rsid w:val="00C35377"/>
    <w:rsid w:val="00C37CF9"/>
    <w:rsid w:val="00C4323D"/>
    <w:rsid w:val="00C44A34"/>
    <w:rsid w:val="00C44B3B"/>
    <w:rsid w:val="00C47F00"/>
    <w:rsid w:val="00C5004B"/>
    <w:rsid w:val="00C5191C"/>
    <w:rsid w:val="00C54237"/>
    <w:rsid w:val="00C55B50"/>
    <w:rsid w:val="00C60FFB"/>
    <w:rsid w:val="00C63CF1"/>
    <w:rsid w:val="00C63F28"/>
    <w:rsid w:val="00C6504A"/>
    <w:rsid w:val="00C653C5"/>
    <w:rsid w:val="00C655F9"/>
    <w:rsid w:val="00C65BFF"/>
    <w:rsid w:val="00C6762C"/>
    <w:rsid w:val="00C701BA"/>
    <w:rsid w:val="00C715F6"/>
    <w:rsid w:val="00C72072"/>
    <w:rsid w:val="00C73626"/>
    <w:rsid w:val="00C7440D"/>
    <w:rsid w:val="00C76111"/>
    <w:rsid w:val="00C80647"/>
    <w:rsid w:val="00C82CF8"/>
    <w:rsid w:val="00C83D74"/>
    <w:rsid w:val="00C8610C"/>
    <w:rsid w:val="00C9327B"/>
    <w:rsid w:val="00C935FB"/>
    <w:rsid w:val="00C93D39"/>
    <w:rsid w:val="00C94D57"/>
    <w:rsid w:val="00CA0D24"/>
    <w:rsid w:val="00CA3C60"/>
    <w:rsid w:val="00CA4336"/>
    <w:rsid w:val="00CB1028"/>
    <w:rsid w:val="00CB10DF"/>
    <w:rsid w:val="00CB4B08"/>
    <w:rsid w:val="00CB59AB"/>
    <w:rsid w:val="00CB65F1"/>
    <w:rsid w:val="00CC31B2"/>
    <w:rsid w:val="00CC41EF"/>
    <w:rsid w:val="00CD7775"/>
    <w:rsid w:val="00CD796D"/>
    <w:rsid w:val="00CE0724"/>
    <w:rsid w:val="00CE219E"/>
    <w:rsid w:val="00CE2BBC"/>
    <w:rsid w:val="00CE43F7"/>
    <w:rsid w:val="00CE5DF3"/>
    <w:rsid w:val="00CE6169"/>
    <w:rsid w:val="00CE6278"/>
    <w:rsid w:val="00CE7E5A"/>
    <w:rsid w:val="00CF1049"/>
    <w:rsid w:val="00CF1E79"/>
    <w:rsid w:val="00CF2FDC"/>
    <w:rsid w:val="00CF3718"/>
    <w:rsid w:val="00CF5BC1"/>
    <w:rsid w:val="00CF6653"/>
    <w:rsid w:val="00D002EB"/>
    <w:rsid w:val="00D01ABE"/>
    <w:rsid w:val="00D02146"/>
    <w:rsid w:val="00D03799"/>
    <w:rsid w:val="00D04BF3"/>
    <w:rsid w:val="00D05E25"/>
    <w:rsid w:val="00D07ECA"/>
    <w:rsid w:val="00D16CA9"/>
    <w:rsid w:val="00D16D31"/>
    <w:rsid w:val="00D17627"/>
    <w:rsid w:val="00D2014B"/>
    <w:rsid w:val="00D204EA"/>
    <w:rsid w:val="00D21447"/>
    <w:rsid w:val="00D31FE5"/>
    <w:rsid w:val="00D3678B"/>
    <w:rsid w:val="00D370E7"/>
    <w:rsid w:val="00D42EF7"/>
    <w:rsid w:val="00D47F8D"/>
    <w:rsid w:val="00D515D6"/>
    <w:rsid w:val="00D51B2D"/>
    <w:rsid w:val="00D521F6"/>
    <w:rsid w:val="00D528EA"/>
    <w:rsid w:val="00D53185"/>
    <w:rsid w:val="00D54320"/>
    <w:rsid w:val="00D543D5"/>
    <w:rsid w:val="00D56735"/>
    <w:rsid w:val="00D57AF0"/>
    <w:rsid w:val="00D610FF"/>
    <w:rsid w:val="00D6220C"/>
    <w:rsid w:val="00D628EB"/>
    <w:rsid w:val="00D630FE"/>
    <w:rsid w:val="00D64BA7"/>
    <w:rsid w:val="00D6543E"/>
    <w:rsid w:val="00D726B6"/>
    <w:rsid w:val="00D726BC"/>
    <w:rsid w:val="00D74D6B"/>
    <w:rsid w:val="00D75550"/>
    <w:rsid w:val="00D766B8"/>
    <w:rsid w:val="00D769F1"/>
    <w:rsid w:val="00D81B72"/>
    <w:rsid w:val="00D91604"/>
    <w:rsid w:val="00D91D48"/>
    <w:rsid w:val="00D9531B"/>
    <w:rsid w:val="00DA3311"/>
    <w:rsid w:val="00DA4204"/>
    <w:rsid w:val="00DA516B"/>
    <w:rsid w:val="00DA6B8E"/>
    <w:rsid w:val="00DB2A24"/>
    <w:rsid w:val="00DB3205"/>
    <w:rsid w:val="00DB358E"/>
    <w:rsid w:val="00DB3D41"/>
    <w:rsid w:val="00DB7F1A"/>
    <w:rsid w:val="00DC0294"/>
    <w:rsid w:val="00DC2D06"/>
    <w:rsid w:val="00DC33C6"/>
    <w:rsid w:val="00DC3632"/>
    <w:rsid w:val="00DC43EF"/>
    <w:rsid w:val="00DC70E7"/>
    <w:rsid w:val="00DD00D7"/>
    <w:rsid w:val="00DD3550"/>
    <w:rsid w:val="00DD568D"/>
    <w:rsid w:val="00DD678F"/>
    <w:rsid w:val="00DD758D"/>
    <w:rsid w:val="00DD7A0F"/>
    <w:rsid w:val="00DE05CB"/>
    <w:rsid w:val="00DE20CA"/>
    <w:rsid w:val="00DE2E3A"/>
    <w:rsid w:val="00DE5C56"/>
    <w:rsid w:val="00DE63F2"/>
    <w:rsid w:val="00DF277D"/>
    <w:rsid w:val="00DF2B58"/>
    <w:rsid w:val="00DF4F1F"/>
    <w:rsid w:val="00DF6BD2"/>
    <w:rsid w:val="00DF7A30"/>
    <w:rsid w:val="00E04720"/>
    <w:rsid w:val="00E059F2"/>
    <w:rsid w:val="00E07A56"/>
    <w:rsid w:val="00E121CB"/>
    <w:rsid w:val="00E12691"/>
    <w:rsid w:val="00E13431"/>
    <w:rsid w:val="00E161E4"/>
    <w:rsid w:val="00E21270"/>
    <w:rsid w:val="00E225A5"/>
    <w:rsid w:val="00E24151"/>
    <w:rsid w:val="00E25C04"/>
    <w:rsid w:val="00E261AA"/>
    <w:rsid w:val="00E31E52"/>
    <w:rsid w:val="00E32BE1"/>
    <w:rsid w:val="00E3552F"/>
    <w:rsid w:val="00E3575E"/>
    <w:rsid w:val="00E4198F"/>
    <w:rsid w:val="00E4554B"/>
    <w:rsid w:val="00E507BA"/>
    <w:rsid w:val="00E5222E"/>
    <w:rsid w:val="00E52AAB"/>
    <w:rsid w:val="00E52B67"/>
    <w:rsid w:val="00E530B0"/>
    <w:rsid w:val="00E54B00"/>
    <w:rsid w:val="00E57121"/>
    <w:rsid w:val="00E6218E"/>
    <w:rsid w:val="00E656CA"/>
    <w:rsid w:val="00E6593E"/>
    <w:rsid w:val="00E662F2"/>
    <w:rsid w:val="00E67D26"/>
    <w:rsid w:val="00E72A1C"/>
    <w:rsid w:val="00E763D0"/>
    <w:rsid w:val="00E76508"/>
    <w:rsid w:val="00E770B2"/>
    <w:rsid w:val="00E775CD"/>
    <w:rsid w:val="00E80D11"/>
    <w:rsid w:val="00E80EF6"/>
    <w:rsid w:val="00E81954"/>
    <w:rsid w:val="00E82A79"/>
    <w:rsid w:val="00E83F29"/>
    <w:rsid w:val="00E84A42"/>
    <w:rsid w:val="00E85BAF"/>
    <w:rsid w:val="00E87F06"/>
    <w:rsid w:val="00E9174F"/>
    <w:rsid w:val="00E92D01"/>
    <w:rsid w:val="00E93121"/>
    <w:rsid w:val="00E93350"/>
    <w:rsid w:val="00E93D49"/>
    <w:rsid w:val="00E940A6"/>
    <w:rsid w:val="00E94F02"/>
    <w:rsid w:val="00E96048"/>
    <w:rsid w:val="00EA299B"/>
    <w:rsid w:val="00EA2EEA"/>
    <w:rsid w:val="00EB04A6"/>
    <w:rsid w:val="00EB12A8"/>
    <w:rsid w:val="00EB3968"/>
    <w:rsid w:val="00EB3B0A"/>
    <w:rsid w:val="00EB479D"/>
    <w:rsid w:val="00EB7A3D"/>
    <w:rsid w:val="00EB7C10"/>
    <w:rsid w:val="00EC184B"/>
    <w:rsid w:val="00EC2B84"/>
    <w:rsid w:val="00EC3766"/>
    <w:rsid w:val="00EC47A0"/>
    <w:rsid w:val="00EC60A0"/>
    <w:rsid w:val="00ED0EFD"/>
    <w:rsid w:val="00ED2039"/>
    <w:rsid w:val="00ED4825"/>
    <w:rsid w:val="00ED51D7"/>
    <w:rsid w:val="00EE0A74"/>
    <w:rsid w:val="00EE4EB8"/>
    <w:rsid w:val="00EE69A0"/>
    <w:rsid w:val="00EE7D25"/>
    <w:rsid w:val="00EE7E8D"/>
    <w:rsid w:val="00EF3E32"/>
    <w:rsid w:val="00EF42F0"/>
    <w:rsid w:val="00EF50C3"/>
    <w:rsid w:val="00F03606"/>
    <w:rsid w:val="00F0364A"/>
    <w:rsid w:val="00F06790"/>
    <w:rsid w:val="00F06DFA"/>
    <w:rsid w:val="00F124FA"/>
    <w:rsid w:val="00F1303C"/>
    <w:rsid w:val="00F14112"/>
    <w:rsid w:val="00F155B3"/>
    <w:rsid w:val="00F1652C"/>
    <w:rsid w:val="00F16DA5"/>
    <w:rsid w:val="00F2251D"/>
    <w:rsid w:val="00F26EFE"/>
    <w:rsid w:val="00F31C42"/>
    <w:rsid w:val="00F32383"/>
    <w:rsid w:val="00F354CA"/>
    <w:rsid w:val="00F37DC0"/>
    <w:rsid w:val="00F41122"/>
    <w:rsid w:val="00F411BD"/>
    <w:rsid w:val="00F41734"/>
    <w:rsid w:val="00F425FA"/>
    <w:rsid w:val="00F43650"/>
    <w:rsid w:val="00F43FD6"/>
    <w:rsid w:val="00F44F67"/>
    <w:rsid w:val="00F5009F"/>
    <w:rsid w:val="00F50B0C"/>
    <w:rsid w:val="00F5193D"/>
    <w:rsid w:val="00F52A73"/>
    <w:rsid w:val="00F5318D"/>
    <w:rsid w:val="00F537F1"/>
    <w:rsid w:val="00F54634"/>
    <w:rsid w:val="00F550AB"/>
    <w:rsid w:val="00F55E7A"/>
    <w:rsid w:val="00F606A1"/>
    <w:rsid w:val="00F62179"/>
    <w:rsid w:val="00F62E5D"/>
    <w:rsid w:val="00F632D3"/>
    <w:rsid w:val="00F66CE9"/>
    <w:rsid w:val="00F66E68"/>
    <w:rsid w:val="00F67C38"/>
    <w:rsid w:val="00F7105A"/>
    <w:rsid w:val="00F72A4A"/>
    <w:rsid w:val="00F73E34"/>
    <w:rsid w:val="00F73FD4"/>
    <w:rsid w:val="00F74417"/>
    <w:rsid w:val="00F76DAF"/>
    <w:rsid w:val="00F800CE"/>
    <w:rsid w:val="00F85429"/>
    <w:rsid w:val="00F860BF"/>
    <w:rsid w:val="00F868B4"/>
    <w:rsid w:val="00F91D5E"/>
    <w:rsid w:val="00F92B52"/>
    <w:rsid w:val="00F96148"/>
    <w:rsid w:val="00FA22E0"/>
    <w:rsid w:val="00FA3017"/>
    <w:rsid w:val="00FA3225"/>
    <w:rsid w:val="00FA3290"/>
    <w:rsid w:val="00FA4458"/>
    <w:rsid w:val="00FA4738"/>
    <w:rsid w:val="00FC05FA"/>
    <w:rsid w:val="00FC0682"/>
    <w:rsid w:val="00FC3718"/>
    <w:rsid w:val="00FC66C8"/>
    <w:rsid w:val="00FD2775"/>
    <w:rsid w:val="00FD7337"/>
    <w:rsid w:val="00FE1131"/>
    <w:rsid w:val="00FE3D82"/>
    <w:rsid w:val="00FF0D95"/>
    <w:rsid w:val="00FF17AE"/>
    <w:rsid w:val="00FF6F52"/>
    <w:rsid w:val="00FF7045"/>
    <w:rsid w:val="01AB40A1"/>
    <w:rsid w:val="032E302C"/>
    <w:rsid w:val="036577D9"/>
    <w:rsid w:val="03AB5AD9"/>
    <w:rsid w:val="03B33954"/>
    <w:rsid w:val="04034C8D"/>
    <w:rsid w:val="04532552"/>
    <w:rsid w:val="04852F6F"/>
    <w:rsid w:val="04DA1D43"/>
    <w:rsid w:val="05A05FFE"/>
    <w:rsid w:val="05D62B9C"/>
    <w:rsid w:val="05E250F7"/>
    <w:rsid w:val="06063744"/>
    <w:rsid w:val="062828B6"/>
    <w:rsid w:val="06D57CC7"/>
    <w:rsid w:val="073618AD"/>
    <w:rsid w:val="07FA704E"/>
    <w:rsid w:val="08255A6C"/>
    <w:rsid w:val="082D5755"/>
    <w:rsid w:val="08405BE2"/>
    <w:rsid w:val="087E45E3"/>
    <w:rsid w:val="08C77EE8"/>
    <w:rsid w:val="08FE5053"/>
    <w:rsid w:val="098D57E6"/>
    <w:rsid w:val="099E2CF2"/>
    <w:rsid w:val="09E2531C"/>
    <w:rsid w:val="0A114120"/>
    <w:rsid w:val="0A4C1EA3"/>
    <w:rsid w:val="0B195855"/>
    <w:rsid w:val="0B3218A3"/>
    <w:rsid w:val="0B672021"/>
    <w:rsid w:val="0C5C5887"/>
    <w:rsid w:val="0C665BD6"/>
    <w:rsid w:val="0C8052B1"/>
    <w:rsid w:val="0CBC24BD"/>
    <w:rsid w:val="0CCD5BD8"/>
    <w:rsid w:val="0D391B51"/>
    <w:rsid w:val="0E0F1F76"/>
    <w:rsid w:val="0E6B711F"/>
    <w:rsid w:val="0E8E7F28"/>
    <w:rsid w:val="0EEE0C2F"/>
    <w:rsid w:val="0F0405AB"/>
    <w:rsid w:val="0F466DBB"/>
    <w:rsid w:val="0F4C5816"/>
    <w:rsid w:val="0F6A2BB4"/>
    <w:rsid w:val="0FC579C8"/>
    <w:rsid w:val="10713EE6"/>
    <w:rsid w:val="108466AC"/>
    <w:rsid w:val="10AE566E"/>
    <w:rsid w:val="10E87910"/>
    <w:rsid w:val="124C0141"/>
    <w:rsid w:val="129A676E"/>
    <w:rsid w:val="12E11A51"/>
    <w:rsid w:val="13576FBE"/>
    <w:rsid w:val="13AF74CB"/>
    <w:rsid w:val="13E67488"/>
    <w:rsid w:val="13EB6653"/>
    <w:rsid w:val="13F019E6"/>
    <w:rsid w:val="155E21F7"/>
    <w:rsid w:val="15962C1C"/>
    <w:rsid w:val="179D6AB3"/>
    <w:rsid w:val="17A61320"/>
    <w:rsid w:val="17FF017F"/>
    <w:rsid w:val="18530F0A"/>
    <w:rsid w:val="195859BE"/>
    <w:rsid w:val="1AA36923"/>
    <w:rsid w:val="1AC508E3"/>
    <w:rsid w:val="1AE21C0C"/>
    <w:rsid w:val="1AEF6C47"/>
    <w:rsid w:val="1B257FA0"/>
    <w:rsid w:val="1BD2358E"/>
    <w:rsid w:val="1C9B0D63"/>
    <w:rsid w:val="1D7E40AC"/>
    <w:rsid w:val="1DBF7438"/>
    <w:rsid w:val="1E0A7BD1"/>
    <w:rsid w:val="1E101900"/>
    <w:rsid w:val="1E56732B"/>
    <w:rsid w:val="1E750FA0"/>
    <w:rsid w:val="1E96556E"/>
    <w:rsid w:val="1EBC7C7E"/>
    <w:rsid w:val="1EFE2187"/>
    <w:rsid w:val="1F48727B"/>
    <w:rsid w:val="20811499"/>
    <w:rsid w:val="20CB335E"/>
    <w:rsid w:val="21343D22"/>
    <w:rsid w:val="218E2810"/>
    <w:rsid w:val="222C0990"/>
    <w:rsid w:val="235000AC"/>
    <w:rsid w:val="23E032D1"/>
    <w:rsid w:val="24533933"/>
    <w:rsid w:val="247265AC"/>
    <w:rsid w:val="248F159F"/>
    <w:rsid w:val="249336CA"/>
    <w:rsid w:val="24CD78E7"/>
    <w:rsid w:val="24EC716E"/>
    <w:rsid w:val="25131865"/>
    <w:rsid w:val="25382991"/>
    <w:rsid w:val="253C5221"/>
    <w:rsid w:val="25DC7E7B"/>
    <w:rsid w:val="25E54A66"/>
    <w:rsid w:val="263E0339"/>
    <w:rsid w:val="26BB1828"/>
    <w:rsid w:val="26E047AD"/>
    <w:rsid w:val="272A00CD"/>
    <w:rsid w:val="273A29C8"/>
    <w:rsid w:val="276130C9"/>
    <w:rsid w:val="2886573F"/>
    <w:rsid w:val="28F525E4"/>
    <w:rsid w:val="2921776D"/>
    <w:rsid w:val="297E260D"/>
    <w:rsid w:val="29CE177D"/>
    <w:rsid w:val="2A4A33C2"/>
    <w:rsid w:val="2B2B6C3B"/>
    <w:rsid w:val="2C60211B"/>
    <w:rsid w:val="2D0131EA"/>
    <w:rsid w:val="2D3B2CD4"/>
    <w:rsid w:val="2D6E2161"/>
    <w:rsid w:val="2DB80B22"/>
    <w:rsid w:val="2DCC52D6"/>
    <w:rsid w:val="2F1A0D0C"/>
    <w:rsid w:val="2FFF52FB"/>
    <w:rsid w:val="300277BC"/>
    <w:rsid w:val="30776468"/>
    <w:rsid w:val="31576493"/>
    <w:rsid w:val="328942D6"/>
    <w:rsid w:val="32CB125E"/>
    <w:rsid w:val="32CC6A06"/>
    <w:rsid w:val="3330784A"/>
    <w:rsid w:val="3373695F"/>
    <w:rsid w:val="3431698F"/>
    <w:rsid w:val="34EC55F5"/>
    <w:rsid w:val="34F5421B"/>
    <w:rsid w:val="34FF03CA"/>
    <w:rsid w:val="351D2FEC"/>
    <w:rsid w:val="360B42D1"/>
    <w:rsid w:val="36283EE8"/>
    <w:rsid w:val="363A5529"/>
    <w:rsid w:val="3656257A"/>
    <w:rsid w:val="37930EDD"/>
    <w:rsid w:val="3794695F"/>
    <w:rsid w:val="37B618B7"/>
    <w:rsid w:val="380168C0"/>
    <w:rsid w:val="382218E6"/>
    <w:rsid w:val="3876710B"/>
    <w:rsid w:val="38802760"/>
    <w:rsid w:val="38864661"/>
    <w:rsid w:val="38C27759"/>
    <w:rsid w:val="38CA2F07"/>
    <w:rsid w:val="395B4327"/>
    <w:rsid w:val="395E0361"/>
    <w:rsid w:val="39C76317"/>
    <w:rsid w:val="3AEB20AF"/>
    <w:rsid w:val="3B0D2FF8"/>
    <w:rsid w:val="3B5618AE"/>
    <w:rsid w:val="3B7E61C2"/>
    <w:rsid w:val="3CBB3914"/>
    <w:rsid w:val="3CBD3CBE"/>
    <w:rsid w:val="3CC56770"/>
    <w:rsid w:val="3D0F0D46"/>
    <w:rsid w:val="3DA43129"/>
    <w:rsid w:val="3E0B2F24"/>
    <w:rsid w:val="3F1B46D4"/>
    <w:rsid w:val="3F3E3374"/>
    <w:rsid w:val="3F5A54B3"/>
    <w:rsid w:val="40D339A9"/>
    <w:rsid w:val="40EE09C2"/>
    <w:rsid w:val="41113877"/>
    <w:rsid w:val="41256DD1"/>
    <w:rsid w:val="41307566"/>
    <w:rsid w:val="414441C1"/>
    <w:rsid w:val="41A125EE"/>
    <w:rsid w:val="41F95C28"/>
    <w:rsid w:val="42BB0F7A"/>
    <w:rsid w:val="43212C28"/>
    <w:rsid w:val="433F2DCA"/>
    <w:rsid w:val="43A434C1"/>
    <w:rsid w:val="43BC7015"/>
    <w:rsid w:val="4409128D"/>
    <w:rsid w:val="44122829"/>
    <w:rsid w:val="44543670"/>
    <w:rsid w:val="44605AA1"/>
    <w:rsid w:val="448441C6"/>
    <w:rsid w:val="44DE13ED"/>
    <w:rsid w:val="454E618C"/>
    <w:rsid w:val="455E5523"/>
    <w:rsid w:val="455E7D03"/>
    <w:rsid w:val="45DE74DC"/>
    <w:rsid w:val="45F710A6"/>
    <w:rsid w:val="461A6218"/>
    <w:rsid w:val="467816D6"/>
    <w:rsid w:val="46AA34CB"/>
    <w:rsid w:val="471E3245"/>
    <w:rsid w:val="477505BE"/>
    <w:rsid w:val="47AC78CE"/>
    <w:rsid w:val="490F634D"/>
    <w:rsid w:val="493C677C"/>
    <w:rsid w:val="49891740"/>
    <w:rsid w:val="4A1664EA"/>
    <w:rsid w:val="4A3860C7"/>
    <w:rsid w:val="4A8D3B01"/>
    <w:rsid w:val="4A8F5FA4"/>
    <w:rsid w:val="4AB2407D"/>
    <w:rsid w:val="4AC659A3"/>
    <w:rsid w:val="4B2C4E14"/>
    <w:rsid w:val="4B4F3C41"/>
    <w:rsid w:val="4B872A4E"/>
    <w:rsid w:val="4BE5047A"/>
    <w:rsid w:val="4D883E0F"/>
    <w:rsid w:val="4DF27088"/>
    <w:rsid w:val="4E0A7D09"/>
    <w:rsid w:val="4EA04EE2"/>
    <w:rsid w:val="4F670185"/>
    <w:rsid w:val="504D52B1"/>
    <w:rsid w:val="50685498"/>
    <w:rsid w:val="508548C0"/>
    <w:rsid w:val="51931D7A"/>
    <w:rsid w:val="52026275"/>
    <w:rsid w:val="52EF0879"/>
    <w:rsid w:val="53586228"/>
    <w:rsid w:val="53B212B6"/>
    <w:rsid w:val="53C04244"/>
    <w:rsid w:val="53EC5C4B"/>
    <w:rsid w:val="545B7D3A"/>
    <w:rsid w:val="54BD3314"/>
    <w:rsid w:val="550A163F"/>
    <w:rsid w:val="552C10A6"/>
    <w:rsid w:val="55594301"/>
    <w:rsid w:val="5588328B"/>
    <w:rsid w:val="567D3B60"/>
    <w:rsid w:val="56804E7F"/>
    <w:rsid w:val="5685473B"/>
    <w:rsid w:val="56EB17D9"/>
    <w:rsid w:val="57DF32FD"/>
    <w:rsid w:val="58A7612B"/>
    <w:rsid w:val="5907609A"/>
    <w:rsid w:val="5BFA14B1"/>
    <w:rsid w:val="5BFB4916"/>
    <w:rsid w:val="5C0326EE"/>
    <w:rsid w:val="5CB42104"/>
    <w:rsid w:val="5CE0792A"/>
    <w:rsid w:val="5CED3AAD"/>
    <w:rsid w:val="5D6D728F"/>
    <w:rsid w:val="5D8D3634"/>
    <w:rsid w:val="5DB35217"/>
    <w:rsid w:val="5DC47446"/>
    <w:rsid w:val="5E070142"/>
    <w:rsid w:val="5ED82206"/>
    <w:rsid w:val="5F711593"/>
    <w:rsid w:val="5FDA3F33"/>
    <w:rsid w:val="60781D85"/>
    <w:rsid w:val="61307BC0"/>
    <w:rsid w:val="61CE4392"/>
    <w:rsid w:val="62D03D0B"/>
    <w:rsid w:val="63EB2ECD"/>
    <w:rsid w:val="64117474"/>
    <w:rsid w:val="6541034B"/>
    <w:rsid w:val="65F226AB"/>
    <w:rsid w:val="66254627"/>
    <w:rsid w:val="66555FBC"/>
    <w:rsid w:val="670E5EDB"/>
    <w:rsid w:val="68012A21"/>
    <w:rsid w:val="68087144"/>
    <w:rsid w:val="68DF74A4"/>
    <w:rsid w:val="6A077629"/>
    <w:rsid w:val="6A953C66"/>
    <w:rsid w:val="6AE51186"/>
    <w:rsid w:val="6B5322E5"/>
    <w:rsid w:val="6BC8731B"/>
    <w:rsid w:val="6C1E28FB"/>
    <w:rsid w:val="6C4F26AA"/>
    <w:rsid w:val="6C681EA6"/>
    <w:rsid w:val="6D0B1928"/>
    <w:rsid w:val="6D231600"/>
    <w:rsid w:val="6D4800E9"/>
    <w:rsid w:val="6DA53857"/>
    <w:rsid w:val="6E45237D"/>
    <w:rsid w:val="6E8313E6"/>
    <w:rsid w:val="6EA44E08"/>
    <w:rsid w:val="6F742C16"/>
    <w:rsid w:val="6F9E5635"/>
    <w:rsid w:val="70126A19"/>
    <w:rsid w:val="707767FC"/>
    <w:rsid w:val="708741AC"/>
    <w:rsid w:val="70B45BE6"/>
    <w:rsid w:val="70C276BE"/>
    <w:rsid w:val="70EB255D"/>
    <w:rsid w:val="711F1022"/>
    <w:rsid w:val="71552ECC"/>
    <w:rsid w:val="716F6CDC"/>
    <w:rsid w:val="71C77974"/>
    <w:rsid w:val="71C8136F"/>
    <w:rsid w:val="721B2558"/>
    <w:rsid w:val="72E10172"/>
    <w:rsid w:val="73190E14"/>
    <w:rsid w:val="731979EF"/>
    <w:rsid w:val="73335882"/>
    <w:rsid w:val="73466992"/>
    <w:rsid w:val="73660203"/>
    <w:rsid w:val="73BF5625"/>
    <w:rsid w:val="74496239"/>
    <w:rsid w:val="747D1240"/>
    <w:rsid w:val="74F30500"/>
    <w:rsid w:val="7520369D"/>
    <w:rsid w:val="752A62C2"/>
    <w:rsid w:val="755872B0"/>
    <w:rsid w:val="75D06669"/>
    <w:rsid w:val="76D44BC8"/>
    <w:rsid w:val="76FA64BE"/>
    <w:rsid w:val="771F3354"/>
    <w:rsid w:val="78004C3D"/>
    <w:rsid w:val="781C2D4E"/>
    <w:rsid w:val="781D2CB0"/>
    <w:rsid w:val="782A13BB"/>
    <w:rsid w:val="78A9558E"/>
    <w:rsid w:val="79DE773C"/>
    <w:rsid w:val="7A98773B"/>
    <w:rsid w:val="7ACA158D"/>
    <w:rsid w:val="7B604CC9"/>
    <w:rsid w:val="7C790995"/>
    <w:rsid w:val="7C934D16"/>
    <w:rsid w:val="7C9350F4"/>
    <w:rsid w:val="7D391F1F"/>
    <w:rsid w:val="7D4503CC"/>
    <w:rsid w:val="7D6D6714"/>
    <w:rsid w:val="7E1D5968"/>
    <w:rsid w:val="7E7659CC"/>
    <w:rsid w:val="7E884E6B"/>
    <w:rsid w:val="7E9E6660"/>
    <w:rsid w:val="7EEF0F2A"/>
    <w:rsid w:val="7F202930"/>
    <w:rsid w:val="7F6B7191"/>
    <w:rsid w:val="7F76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b/>
      <w:kern w:val="44"/>
      <w:sz w:val="36"/>
      <w:szCs w:val="20"/>
    </w:rPr>
  </w:style>
  <w:style w:type="paragraph" w:styleId="3">
    <w:name w:val="heading 2"/>
    <w:basedOn w:val="1"/>
    <w:next w:val="4"/>
    <w:qFormat/>
    <w:uiPriority w:val="0"/>
    <w:pPr>
      <w:keepNext/>
      <w:keepLines/>
      <w:spacing w:before="260" w:after="260" w:line="413" w:lineRule="auto"/>
      <w:jc w:val="center"/>
      <w:outlineLvl w:val="1"/>
    </w:pPr>
    <w:rPr>
      <w:rFonts w:ascii="CG Times" w:hAnsi="CG Times"/>
      <w:b/>
      <w:sz w:val="30"/>
      <w:szCs w:val="20"/>
    </w:rPr>
  </w:style>
  <w:style w:type="paragraph" w:styleId="5">
    <w:name w:val="heading 3"/>
    <w:basedOn w:val="1"/>
    <w:next w:val="4"/>
    <w:qFormat/>
    <w:uiPriority w:val="0"/>
    <w:pPr>
      <w:keepNext/>
      <w:keepLines/>
      <w:tabs>
        <w:tab w:val="left" w:pos="5852"/>
      </w:tabs>
      <w:snapToGrid w:val="0"/>
      <w:spacing w:before="360" w:line="240" w:lineRule="exact"/>
      <w:ind w:left="425" w:hanging="425"/>
      <w:outlineLvl w:val="2"/>
    </w:pPr>
    <w:rPr>
      <w:b/>
      <w:sz w:val="28"/>
      <w:szCs w:val="20"/>
    </w:rPr>
  </w:style>
  <w:style w:type="paragraph" w:styleId="6">
    <w:name w:val="heading 4"/>
    <w:basedOn w:val="1"/>
    <w:next w:val="4"/>
    <w:qFormat/>
    <w:uiPriority w:val="0"/>
    <w:pPr>
      <w:keepNext/>
      <w:keepLines/>
      <w:tabs>
        <w:tab w:val="left" w:pos="425"/>
      </w:tabs>
      <w:spacing w:before="360" w:line="240" w:lineRule="exact"/>
      <w:ind w:left="425" w:hanging="425"/>
      <w:outlineLvl w:val="3"/>
    </w:pPr>
    <w:rPr>
      <w:rFonts w:ascii="宋体"/>
      <w:b/>
      <w:sz w:val="28"/>
      <w:szCs w:val="20"/>
    </w:rPr>
  </w:style>
  <w:style w:type="paragraph" w:styleId="7">
    <w:name w:val="heading 5"/>
    <w:basedOn w:val="1"/>
    <w:next w:val="4"/>
    <w:qFormat/>
    <w:uiPriority w:val="0"/>
    <w:pPr>
      <w:keepNext/>
      <w:keepLines/>
      <w:spacing w:before="280" w:after="290" w:line="372" w:lineRule="auto"/>
      <w:outlineLvl w:val="4"/>
    </w:pPr>
    <w:rPr>
      <w:b/>
      <w:sz w:val="28"/>
      <w:szCs w:val="20"/>
    </w:rPr>
  </w:style>
  <w:style w:type="paragraph" w:styleId="8">
    <w:name w:val="heading 6"/>
    <w:basedOn w:val="1"/>
    <w:next w:val="4"/>
    <w:qFormat/>
    <w:uiPriority w:val="0"/>
    <w:pPr>
      <w:keepNext/>
      <w:keepLines/>
      <w:spacing w:before="240" w:after="64" w:line="317" w:lineRule="auto"/>
      <w:outlineLvl w:val="5"/>
    </w:pPr>
    <w:rPr>
      <w:rFonts w:ascii="Arial" w:hAnsi="Arial" w:eastAsia="黑体"/>
      <w:b/>
      <w:sz w:val="24"/>
      <w:szCs w:val="20"/>
    </w:rPr>
  </w:style>
  <w:style w:type="paragraph" w:styleId="9">
    <w:name w:val="heading 7"/>
    <w:basedOn w:val="1"/>
    <w:next w:val="4"/>
    <w:qFormat/>
    <w:uiPriority w:val="0"/>
    <w:pPr>
      <w:keepNext/>
      <w:keepLines/>
      <w:spacing w:before="240" w:after="64" w:line="317" w:lineRule="auto"/>
      <w:outlineLvl w:val="6"/>
    </w:pPr>
    <w:rPr>
      <w:b/>
      <w:sz w:val="24"/>
      <w:szCs w:val="20"/>
    </w:rPr>
  </w:style>
  <w:style w:type="paragraph" w:styleId="10">
    <w:name w:val="heading 8"/>
    <w:basedOn w:val="1"/>
    <w:next w:val="4"/>
    <w:qFormat/>
    <w:uiPriority w:val="0"/>
    <w:pPr>
      <w:keepNext/>
      <w:keepLines/>
      <w:spacing w:before="240" w:after="64" w:line="317" w:lineRule="auto"/>
      <w:outlineLvl w:val="7"/>
    </w:pPr>
    <w:rPr>
      <w:rFonts w:ascii="Arial" w:hAnsi="Arial" w:eastAsia="黑体"/>
      <w:sz w:val="24"/>
      <w:szCs w:val="20"/>
    </w:rPr>
  </w:style>
  <w:style w:type="paragraph" w:styleId="11">
    <w:name w:val="heading 9"/>
    <w:basedOn w:val="1"/>
    <w:next w:val="4"/>
    <w:qFormat/>
    <w:uiPriority w:val="0"/>
    <w:pPr>
      <w:keepNext/>
      <w:keepLines/>
      <w:spacing w:before="240" w:after="64" w:line="317"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9"/>
    <w:qFormat/>
    <w:uiPriority w:val="0"/>
    <w:pPr>
      <w:ind w:firstLine="420"/>
    </w:pPr>
    <w:rPr>
      <w:szCs w:val="20"/>
    </w:rPr>
  </w:style>
  <w:style w:type="paragraph" w:styleId="12">
    <w:name w:val="toc 7"/>
    <w:basedOn w:val="1"/>
    <w:next w:val="1"/>
    <w:qFormat/>
    <w:uiPriority w:val="0"/>
    <w:pPr>
      <w:ind w:left="-26" w:leftChars="-13" w:hanging="1"/>
    </w:pPr>
    <w:rPr>
      <w:rFonts w:ascii="Times New Roman" w:hAnsi="Times New Roman" w:eastAsia="宋体" w:cs="Times New Roman"/>
    </w:rPr>
  </w:style>
  <w:style w:type="paragraph" w:styleId="13">
    <w:name w:val="caption"/>
    <w:basedOn w:val="1"/>
    <w:next w:val="1"/>
    <w:qFormat/>
    <w:uiPriority w:val="0"/>
    <w:rPr>
      <w:rFonts w:ascii="Arial" w:hAnsi="Arial" w:eastAsia="黑体" w:cs="Arial"/>
      <w:sz w:val="20"/>
    </w:rPr>
  </w:style>
  <w:style w:type="paragraph" w:styleId="14">
    <w:name w:val="Document Map"/>
    <w:basedOn w:val="1"/>
    <w:qFormat/>
    <w:uiPriority w:val="0"/>
    <w:pPr>
      <w:shd w:val="clear" w:color="auto" w:fill="000080"/>
    </w:pPr>
  </w:style>
  <w:style w:type="paragraph" w:styleId="15">
    <w:name w:val="annotation text"/>
    <w:basedOn w:val="1"/>
    <w:link w:val="42"/>
    <w:semiHidden/>
    <w:qFormat/>
    <w:uiPriority w:val="0"/>
    <w:pPr>
      <w:jc w:val="left"/>
    </w:pPr>
    <w:rPr>
      <w:szCs w:val="20"/>
    </w:rPr>
  </w:style>
  <w:style w:type="paragraph" w:styleId="16">
    <w:name w:val="Body Text"/>
    <w:basedOn w:val="1"/>
    <w:qFormat/>
    <w:uiPriority w:val="0"/>
    <w:pPr>
      <w:spacing w:line="380" w:lineRule="exact"/>
    </w:pPr>
    <w:rPr>
      <w:sz w:val="24"/>
    </w:rPr>
  </w:style>
  <w:style w:type="paragraph" w:styleId="17">
    <w:name w:val="Body Text Indent"/>
    <w:basedOn w:val="1"/>
    <w:qFormat/>
    <w:uiPriority w:val="0"/>
    <w:pPr>
      <w:spacing w:after="120"/>
      <w:ind w:left="420" w:leftChars="200"/>
    </w:pPr>
  </w:style>
  <w:style w:type="paragraph" w:styleId="18">
    <w:name w:val="Plain Text"/>
    <w:basedOn w:val="1"/>
    <w:link w:val="36"/>
    <w:qFormat/>
    <w:uiPriority w:val="0"/>
    <w:rPr>
      <w:rFonts w:ascii="宋体" w:hAnsi="Courier New"/>
    </w:rPr>
  </w:style>
  <w:style w:type="paragraph" w:styleId="19">
    <w:name w:val="Date"/>
    <w:basedOn w:val="1"/>
    <w:next w:val="1"/>
    <w:qFormat/>
    <w:uiPriority w:val="0"/>
    <w:rPr>
      <w:sz w:val="28"/>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qFormat/>
    <w:uiPriority w:val="0"/>
    <w:rPr>
      <w:sz w:val="18"/>
      <w:szCs w:val="18"/>
    </w:rPr>
  </w:style>
  <w:style w:type="paragraph" w:styleId="22">
    <w:name w:val="footer"/>
    <w:basedOn w:val="1"/>
    <w:link w:val="37"/>
    <w:qFormat/>
    <w:uiPriority w:val="99"/>
    <w:pPr>
      <w:tabs>
        <w:tab w:val="center" w:pos="4153"/>
        <w:tab w:val="right" w:pos="8306"/>
      </w:tabs>
      <w:snapToGrid w:val="0"/>
      <w:jc w:val="left"/>
    </w:pPr>
    <w:rPr>
      <w:sz w:val="18"/>
      <w:szCs w:val="20"/>
    </w:rPr>
  </w:style>
  <w:style w:type="paragraph" w:styleId="23">
    <w:name w:val="header"/>
    <w:basedOn w:val="1"/>
    <w:link w:val="38"/>
    <w:qFormat/>
    <w:uiPriority w:val="99"/>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0"/>
  </w:style>
  <w:style w:type="paragraph" w:styleId="25">
    <w:name w:val="toc 2"/>
    <w:basedOn w:val="1"/>
    <w:next w:val="1"/>
    <w:qFormat/>
    <w:uiPriority w:val="0"/>
    <w:pPr>
      <w:ind w:left="420" w:leftChars="200"/>
    </w:pPr>
  </w:style>
  <w:style w:type="paragraph" w:styleId="26">
    <w:name w:val="Body Text 2"/>
    <w:basedOn w:val="1"/>
    <w:qFormat/>
    <w:uiPriority w:val="0"/>
    <w:pPr>
      <w:spacing w:after="120" w:line="480" w:lineRule="auto"/>
    </w:pPr>
  </w:style>
  <w:style w:type="paragraph" w:styleId="27">
    <w:name w:val="Normal (Web)"/>
    <w:basedOn w:val="1"/>
    <w:qFormat/>
    <w:uiPriority w:val="0"/>
    <w:pPr>
      <w:spacing w:line="300" w:lineRule="auto"/>
    </w:pPr>
    <w:rPr>
      <w:sz w:val="24"/>
    </w:rPr>
  </w:style>
  <w:style w:type="paragraph" w:styleId="28">
    <w:name w:val="annotation subject"/>
    <w:basedOn w:val="15"/>
    <w:next w:val="15"/>
    <w:link w:val="41"/>
    <w:qFormat/>
    <w:uiPriority w:val="0"/>
    <w:rPr>
      <w:b/>
      <w:bCs/>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Hyperlink"/>
    <w:basedOn w:val="31"/>
    <w:qFormat/>
    <w:uiPriority w:val="99"/>
    <w:rPr>
      <w:color w:val="0000FF"/>
      <w:u w:val="single"/>
    </w:rPr>
  </w:style>
  <w:style w:type="character" w:styleId="35">
    <w:name w:val="annotation reference"/>
    <w:basedOn w:val="31"/>
    <w:qFormat/>
    <w:uiPriority w:val="99"/>
    <w:rPr>
      <w:sz w:val="21"/>
      <w:szCs w:val="21"/>
    </w:rPr>
  </w:style>
  <w:style w:type="character" w:customStyle="1" w:styleId="36">
    <w:name w:val="纯文本 Char"/>
    <w:basedOn w:val="31"/>
    <w:link w:val="18"/>
    <w:qFormat/>
    <w:uiPriority w:val="0"/>
    <w:rPr>
      <w:rFonts w:ascii="宋体" w:hAnsi="Courier New" w:eastAsia="宋体"/>
      <w:kern w:val="2"/>
      <w:sz w:val="21"/>
      <w:lang w:val="en-US" w:eastAsia="zh-CN" w:bidi="ar-SA"/>
    </w:rPr>
  </w:style>
  <w:style w:type="character" w:customStyle="1" w:styleId="37">
    <w:name w:val="页脚 Char"/>
    <w:basedOn w:val="31"/>
    <w:link w:val="22"/>
    <w:qFormat/>
    <w:uiPriority w:val="99"/>
    <w:rPr>
      <w:kern w:val="2"/>
      <w:sz w:val="18"/>
    </w:rPr>
  </w:style>
  <w:style w:type="character" w:customStyle="1" w:styleId="38">
    <w:name w:val="页眉 Char"/>
    <w:basedOn w:val="31"/>
    <w:link w:val="23"/>
    <w:qFormat/>
    <w:uiPriority w:val="99"/>
    <w:rPr>
      <w:kern w:val="2"/>
      <w:sz w:val="18"/>
    </w:rPr>
  </w:style>
  <w:style w:type="character" w:customStyle="1" w:styleId="39">
    <w:name w:val="正文缩进 Char"/>
    <w:basedOn w:val="31"/>
    <w:link w:val="4"/>
    <w:qFormat/>
    <w:uiPriority w:val="0"/>
    <w:rPr>
      <w:rFonts w:eastAsia="宋体"/>
      <w:kern w:val="2"/>
      <w:sz w:val="21"/>
      <w:lang w:val="en-US" w:eastAsia="zh-CN" w:bidi="ar-SA"/>
    </w:rPr>
  </w:style>
  <w:style w:type="character" w:customStyle="1" w:styleId="40">
    <w:name w:val="普通文字 Char Char1"/>
    <w:qFormat/>
    <w:uiPriority w:val="0"/>
    <w:rPr>
      <w:rFonts w:ascii="宋体" w:hAnsi="Courier New" w:eastAsia="宋体"/>
      <w:kern w:val="2"/>
      <w:sz w:val="21"/>
      <w:lang w:val="en-US" w:eastAsia="zh-CN" w:bidi="ar-SA"/>
    </w:rPr>
  </w:style>
  <w:style w:type="character" w:customStyle="1" w:styleId="41">
    <w:name w:val="批注主题 Char"/>
    <w:basedOn w:val="42"/>
    <w:link w:val="28"/>
    <w:qFormat/>
    <w:uiPriority w:val="0"/>
    <w:rPr>
      <w:kern w:val="2"/>
      <w:sz w:val="21"/>
    </w:rPr>
  </w:style>
  <w:style w:type="character" w:customStyle="1" w:styleId="42">
    <w:name w:val="批注文字 Char"/>
    <w:basedOn w:val="31"/>
    <w:link w:val="15"/>
    <w:semiHidden/>
    <w:qFormat/>
    <w:uiPriority w:val="0"/>
    <w:rPr>
      <w:kern w:val="2"/>
      <w:sz w:val="21"/>
    </w:rPr>
  </w:style>
  <w:style w:type="character" w:customStyle="1" w:styleId="43">
    <w:name w:val="Char Char Char"/>
    <w:basedOn w:val="31"/>
    <w:qFormat/>
    <w:uiPriority w:val="0"/>
    <w:rPr>
      <w:rFonts w:ascii="宋体" w:hAnsi="Courier New" w:eastAsia="宋体"/>
      <w:kern w:val="2"/>
      <w:sz w:val="21"/>
      <w:lang w:val="en-US" w:eastAsia="zh-CN" w:bidi="ar-SA"/>
    </w:rPr>
  </w:style>
  <w:style w:type="paragraph" w:customStyle="1" w:styleId="4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5">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Char Char Char Char"/>
    <w:basedOn w:val="1"/>
    <w:qFormat/>
    <w:uiPriority w:val="0"/>
    <w:rPr>
      <w:rFonts w:ascii="Tahoma" w:hAnsi="Tahoma"/>
      <w:sz w:val="24"/>
      <w:szCs w:val="20"/>
    </w:rPr>
  </w:style>
  <w:style w:type="paragraph" w:customStyle="1" w:styleId="47">
    <w:name w:val="Char1"/>
    <w:basedOn w:val="1"/>
    <w:qFormat/>
    <w:uiPriority w:val="0"/>
    <w:rPr>
      <w:rFonts w:ascii="Tahoma" w:hAnsi="Tahoma"/>
      <w:sz w:val="24"/>
      <w:szCs w:val="20"/>
    </w:rPr>
  </w:style>
  <w:style w:type="paragraph" w:customStyle="1" w:styleId="48">
    <w:name w:val="Char2"/>
    <w:basedOn w:val="1"/>
    <w:qFormat/>
    <w:uiPriority w:val="0"/>
  </w:style>
  <w:style w:type="paragraph" w:customStyle="1" w:styleId="49">
    <w:name w:val="基准页眉样式"/>
    <w:basedOn w:val="16"/>
    <w:qFormat/>
    <w:uiPriority w:val="0"/>
    <w:pPr>
      <w:jc w:val="center"/>
    </w:pPr>
    <w:rPr>
      <w:rFonts w:eastAsia="楷体_GB2312"/>
      <w:szCs w:val="20"/>
    </w:rPr>
  </w:style>
  <w:style w:type="paragraph" w:customStyle="1" w:styleId="50">
    <w:name w:val="标准"/>
    <w:basedOn w:val="1"/>
    <w:qFormat/>
    <w:uiPriority w:val="0"/>
    <w:pPr>
      <w:spacing w:line="360" w:lineRule="auto"/>
      <w:ind w:firstLine="200" w:firstLineChars="200"/>
    </w:pPr>
    <w:rPr>
      <w:rFonts w:cs="宋体"/>
      <w:szCs w:val="20"/>
    </w:rPr>
  </w:style>
  <w:style w:type="paragraph" w:customStyle="1" w:styleId="51">
    <w:name w:val="p0"/>
    <w:basedOn w:val="1"/>
    <w:qFormat/>
    <w:uiPriority w:val="0"/>
    <w:pPr>
      <w:widowControl/>
    </w:pPr>
    <w:rPr>
      <w:kern w:val="0"/>
      <w:szCs w:val="21"/>
    </w:rPr>
  </w:style>
  <w:style w:type="paragraph" w:customStyle="1" w:styleId="52">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53">
    <w:name w:val="题注4"/>
    <w:basedOn w:val="1"/>
    <w:next w:val="13"/>
    <w:qFormat/>
    <w:uiPriority w:val="0"/>
    <w:pPr>
      <w:spacing w:line="360" w:lineRule="exact"/>
    </w:pPr>
    <w:rPr>
      <w:rFonts w:ascii="宋体"/>
      <w:b/>
      <w:bCs/>
      <w:sz w:val="24"/>
    </w:rPr>
  </w:style>
  <w:style w:type="paragraph" w:customStyle="1" w:styleId="54">
    <w:name w:val="Char Char Char Char Char Char Char Char Char Char"/>
    <w:basedOn w:val="1"/>
    <w:qFormat/>
    <w:uiPriority w:val="0"/>
    <w:pPr>
      <w:adjustRightInd w:val="0"/>
      <w:spacing w:line="360" w:lineRule="auto"/>
    </w:pPr>
    <w:rPr>
      <w:szCs w:val="20"/>
    </w:rPr>
  </w:style>
  <w:style w:type="paragraph" w:customStyle="1" w:styleId="55">
    <w:name w:val="列出段落1"/>
    <w:basedOn w:val="1"/>
    <w:qFormat/>
    <w:uiPriority w:val="7"/>
    <w:pPr>
      <w:ind w:firstLine="420"/>
    </w:pPr>
    <w:rPr>
      <w:rFonts w:cs="Calibri"/>
      <w:color w:val="000000"/>
      <w:kern w:val="1"/>
      <w:szCs w:val="22"/>
    </w:rPr>
  </w:style>
  <w:style w:type="paragraph" w:customStyle="1" w:styleId="56">
    <w:name w:val="ptdl"/>
    <w:basedOn w:val="1"/>
    <w:qFormat/>
    <w:uiPriority w:val="0"/>
    <w:pPr>
      <w:spacing w:after="156"/>
      <w:ind w:firstLine="480"/>
    </w:pPr>
    <w:rPr>
      <w:sz w:val="24"/>
    </w:rPr>
  </w:style>
  <w:style w:type="paragraph" w:styleId="57">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58">
    <w:name w:val="Char"/>
    <w:basedOn w:val="1"/>
    <w:qFormat/>
    <w:uiPriority w:val="0"/>
    <w:rPr>
      <w:szCs w:val="20"/>
    </w:rPr>
  </w:style>
  <w:style w:type="paragraph" w:customStyle="1" w:styleId="59">
    <w:name w:val="样式1"/>
    <w:basedOn w:val="2"/>
    <w:qFormat/>
    <w:uiPriority w:val="0"/>
    <w:pPr>
      <w:spacing w:line="0" w:lineRule="atLeast"/>
    </w:pPr>
    <w:rPr>
      <w:b w:val="0"/>
    </w:rPr>
  </w:style>
  <w:style w:type="paragraph" w:styleId="60">
    <w:name w:val="List Paragraph"/>
    <w:basedOn w:val="1"/>
    <w:qFormat/>
    <w:uiPriority w:val="0"/>
    <w:pPr>
      <w:ind w:firstLine="420" w:firstLineChars="200"/>
    </w:pPr>
    <w:rPr>
      <w:szCs w:val="22"/>
    </w:rPr>
  </w:style>
  <w:style w:type="paragraph" w:customStyle="1" w:styleId="6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Char Char1 Char Char Char"/>
    <w:basedOn w:val="1"/>
    <w:qFormat/>
    <w:uiPriority w:val="0"/>
    <w:rPr>
      <w:kern w:val="0"/>
      <w:sz w:val="20"/>
      <w:szCs w:val="20"/>
    </w:rPr>
  </w:style>
  <w:style w:type="paragraph" w:customStyle="1" w:styleId="63">
    <w:name w:val="Char1 Char Char Char Char Char Char Char Char1 Char Char"/>
    <w:basedOn w:val="1"/>
    <w:qFormat/>
    <w:uiPriority w:val="0"/>
    <w:rPr>
      <w:b/>
      <w:bCs/>
      <w:sz w:val="36"/>
      <w:szCs w:val="32"/>
    </w:rPr>
  </w:style>
  <w:style w:type="paragraph" w:customStyle="1" w:styleId="6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65">
    <w:name w:val="xl30"/>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66">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6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Char1 Char Char Char Char Char Char Char Char1"/>
    <w:basedOn w:val="1"/>
    <w:qFormat/>
    <w:uiPriority w:val="0"/>
    <w:rPr>
      <w:b/>
      <w:bCs/>
      <w:sz w:val="36"/>
      <w:szCs w:val="32"/>
    </w:rPr>
  </w:style>
  <w:style w:type="paragraph" w:customStyle="1" w:styleId="6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70">
    <w:name w:val="p0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Char Char Char Char Char Char Char1"/>
    <w:basedOn w:val="1"/>
    <w:qFormat/>
    <w:uiPriority w:val="0"/>
    <w:pPr>
      <w:adjustRightInd w:val="0"/>
      <w:spacing w:line="360" w:lineRule="auto"/>
    </w:pPr>
    <w:rPr>
      <w:kern w:val="0"/>
      <w:sz w:val="24"/>
      <w:szCs w:val="20"/>
    </w:rPr>
  </w:style>
  <w:style w:type="paragraph" w:customStyle="1" w:styleId="72">
    <w:name w:val="样式3"/>
    <w:basedOn w:val="18"/>
    <w:qFormat/>
    <w:uiPriority w:val="0"/>
    <w:pPr>
      <w:spacing w:line="0" w:lineRule="atLeast"/>
      <w:outlineLvl w:val="0"/>
    </w:pPr>
    <w:rPr>
      <w:sz w:val="28"/>
    </w:rPr>
  </w:style>
  <w:style w:type="paragraph" w:customStyle="1" w:styleId="73">
    <w:name w:val="列出段落11"/>
    <w:basedOn w:val="1"/>
    <w:qFormat/>
    <w:uiPriority w:val="34"/>
    <w:pPr>
      <w:ind w:firstLine="420" w:firstLineChars="200"/>
    </w:pPr>
  </w:style>
  <w:style w:type="paragraph" w:customStyle="1" w:styleId="74">
    <w:name w:val="潘"/>
    <w:basedOn w:val="1"/>
    <w:qFormat/>
    <w:uiPriority w:val="0"/>
    <w:pPr>
      <w:snapToGrid w:val="0"/>
      <w:spacing w:line="240" w:lineRule="atLeast"/>
    </w:pPr>
    <w:rPr>
      <w:rFonts w:ascii="Arial" w:hAnsi="Arial" w:eastAsia="楷体_GB2312"/>
      <w:b/>
      <w:bCs/>
    </w:rPr>
  </w:style>
  <w:style w:type="paragraph" w:customStyle="1" w:styleId="75">
    <w:name w:val="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52DBC-8DA9-4391-B3F1-D0D370E2D69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55</Pages>
  <Words>6331</Words>
  <Characters>36089</Characters>
  <Lines>300</Lines>
  <Paragraphs>84</Paragraphs>
  <TotalTime>9</TotalTime>
  <ScaleCrop>false</ScaleCrop>
  <LinksUpToDate>false</LinksUpToDate>
  <CharactersWithSpaces>42336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2019-06-26T01:23:00Z</dcterms:created>
  <dc:creator>yanjun</dc:creator>
  <cp:lastModifiedBy>Administrator</cp:lastModifiedBy>
  <cp:lastPrinted>2019-01-14T00:38:00Z</cp:lastPrinted>
  <dcterms:modified xsi:type="dcterms:W3CDTF">2019-08-30T07:42:53Z</dcterms:modified>
  <dc:title>政府采购招标文件 (2006版) （修改1稿）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